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A2240"/>
          <w:sz w:val="52"/>
        </w:rPr>
        <w:t>Real Estate &amp; Finance Glossary</w:t>
      </w:r>
    </w:p>
    <w:p>
      <w:r>
        <w:rPr>
          <w:i/>
          <w:color w:val="64748B"/>
          <w:sz w:val="20"/>
        </w:rPr>
        <w:t>Compiled by Frank Powell · Sierra Vista Home Selling Team · yourrealtorfrank.com</w:t>
      </w:r>
    </w:p>
    <w:p>
      <w:r>
        <w:rPr>
          <w:color w:val="64748B"/>
          <w:sz w:val="20"/>
        </w:rPr>
        <w:t>1055 terms · Generated August 20, 2026</w:t>
      </w:r>
    </w:p>
    <w:p>
      <w:r>
        <w:br w:type="page"/>
      </w:r>
    </w:p>
    <w:p>
      <w:r>
        <w:rPr>
          <w:b/>
          <w:color w:val="B22234"/>
          <w:sz w:val="28"/>
        </w:rPr>
        <w:t>Affordable Housing &amp; Government</w:t>
      </w:r>
    </w:p>
    <w:p>
      <w:pPr>
        <w:spacing w:before="120" w:after="20"/>
      </w:pPr>
      <w:r>
        <w:rPr>
          <w:b/>
          <w:color w:val="0A2240"/>
          <w:sz w:val="21"/>
        </w:rPr>
        <w:t>30/60/80 AMI</w:t>
      </w:r>
    </w:p>
    <w:p>
      <w:pPr>
        <w:spacing w:after="80"/>
        <w:ind w:left="0"/>
      </w:pPr>
      <w:r>
        <w:rPr>
          <w:color w:val="334155"/>
          <w:sz w:val="20"/>
        </w:rPr>
        <w:t>Common affordable housing income tiers used for unit set-asides.</w:t>
      </w:r>
    </w:p>
    <w:p>
      <w:pPr>
        <w:spacing w:before="120" w:after="20"/>
      </w:pPr>
      <w:r>
        <w:rPr>
          <w:b/>
          <w:color w:val="0A2240"/>
          <w:sz w:val="21"/>
        </w:rPr>
        <w:t>Area Median Income (AMI)</w:t>
      </w:r>
    </w:p>
    <w:p>
      <w:pPr>
        <w:spacing w:after="80"/>
        <w:ind w:left="0"/>
      </w:pPr>
      <w:r>
        <w:rPr>
          <w:color w:val="334155"/>
          <w:sz w:val="20"/>
        </w:rPr>
        <w:t>The midpoint income for a metropolitan area, used to qualify affordable housing programs.</w:t>
      </w:r>
    </w:p>
    <w:p>
      <w:pPr>
        <w:spacing w:before="120" w:after="20"/>
      </w:pPr>
      <w:r>
        <w:rPr>
          <w:b/>
          <w:color w:val="0A2240"/>
          <w:sz w:val="21"/>
        </w:rPr>
        <w:t>CDFI</w:t>
      </w:r>
    </w:p>
    <w:p>
      <w:pPr>
        <w:spacing w:after="80"/>
        <w:ind w:left="0"/>
      </w:pPr>
      <w:r>
        <w:rPr>
          <w:color w:val="334155"/>
          <w:sz w:val="20"/>
        </w:rPr>
        <w:t>Community Development Financial Institution — a specialized lender serving underserved communities.</w:t>
      </w:r>
    </w:p>
    <w:p>
      <w:pPr>
        <w:spacing w:before="120" w:after="20"/>
      </w:pPr>
      <w:r>
        <w:rPr>
          <w:b/>
          <w:color w:val="0A2240"/>
          <w:sz w:val="21"/>
        </w:rPr>
        <w:t>Compliance Period</w:t>
      </w:r>
    </w:p>
    <w:p>
      <w:pPr>
        <w:spacing w:after="80"/>
        <w:ind w:left="0"/>
      </w:pPr>
      <w:r>
        <w:rPr>
          <w:color w:val="334155"/>
          <w:sz w:val="20"/>
        </w:rPr>
        <w:t>The years a LIHTC property must maintain affordability — typically 15+15.</w:t>
      </w:r>
    </w:p>
    <w:p>
      <w:pPr>
        <w:spacing w:before="120" w:after="20"/>
      </w:pPr>
      <w:r>
        <w:rPr>
          <w:b/>
          <w:color w:val="0A2240"/>
          <w:sz w:val="21"/>
        </w:rPr>
        <w:t>ELI</w:t>
      </w:r>
    </w:p>
    <w:p>
      <w:pPr>
        <w:spacing w:after="80"/>
        <w:ind w:left="0"/>
      </w:pPr>
      <w:r>
        <w:rPr>
          <w:color w:val="334155"/>
          <w:sz w:val="20"/>
        </w:rPr>
        <w:t>Extremely Low Income — households earning under 30% of AMI.</w:t>
      </w:r>
    </w:p>
    <w:p>
      <w:pPr>
        <w:spacing w:before="120" w:after="20"/>
      </w:pPr>
      <w:r>
        <w:rPr>
          <w:b/>
          <w:color w:val="0A2240"/>
          <w:sz w:val="21"/>
        </w:rPr>
        <w:t>Fair Housing Act</w:t>
      </w:r>
    </w:p>
    <w:p>
      <w:pPr>
        <w:spacing w:after="80"/>
        <w:ind w:left="0"/>
      </w:pPr>
      <w:r>
        <w:rPr>
          <w:color w:val="334155"/>
          <w:sz w:val="20"/>
        </w:rPr>
        <w:t>Federal law prohibiting housing discrimination based on protected classes.</w:t>
      </w:r>
    </w:p>
    <w:p>
      <w:pPr>
        <w:spacing w:before="120" w:after="20"/>
      </w:pPr>
      <w:r>
        <w:rPr>
          <w:b/>
          <w:color w:val="0A2240"/>
          <w:sz w:val="21"/>
        </w:rPr>
        <w:t>HOME Program</w:t>
      </w:r>
    </w:p>
    <w:p>
      <w:pPr>
        <w:spacing w:after="80"/>
        <w:ind w:left="0"/>
      </w:pPr>
      <w:r>
        <w:rPr>
          <w:color w:val="334155"/>
          <w:sz w:val="20"/>
        </w:rPr>
        <w:t>A federal block-grant program funding state and local affordable housing efforts.</w:t>
      </w:r>
    </w:p>
    <w:p>
      <w:pPr>
        <w:spacing w:before="120" w:after="20"/>
      </w:pPr>
      <w:r>
        <w:rPr>
          <w:b/>
          <w:color w:val="0A2240"/>
          <w:sz w:val="21"/>
        </w:rPr>
        <w:t>HUD</w:t>
      </w:r>
    </w:p>
    <w:p>
      <w:pPr>
        <w:spacing w:after="80"/>
        <w:ind w:left="0"/>
      </w:pPr>
      <w:r>
        <w:rPr>
          <w:color w:val="334155"/>
          <w:sz w:val="20"/>
        </w:rPr>
        <w:t>U.S. Department of Housing and Urban Development — the federal agency for housing policy.</w:t>
      </w:r>
    </w:p>
    <w:p>
      <w:pPr>
        <w:spacing w:before="120" w:after="20"/>
      </w:pPr>
      <w:r>
        <w:rPr>
          <w:b/>
          <w:color w:val="0A2240"/>
          <w:sz w:val="21"/>
        </w:rPr>
        <w:t>Inclusionary Zoning</w:t>
      </w:r>
    </w:p>
    <w:p>
      <w:pPr>
        <w:spacing w:after="80"/>
        <w:ind w:left="0"/>
      </w:pPr>
      <w:r>
        <w:rPr>
          <w:color w:val="334155"/>
          <w:sz w:val="20"/>
        </w:rPr>
        <w:t>A local rule requiring developers to include affordable units in new projects.</w:t>
      </w:r>
    </w:p>
    <w:p>
      <w:pPr>
        <w:spacing w:before="120" w:after="20"/>
      </w:pPr>
      <w:r>
        <w:rPr>
          <w:b/>
          <w:color w:val="0A2240"/>
          <w:sz w:val="21"/>
        </w:rPr>
        <w:t>LIHTC</w:t>
      </w:r>
    </w:p>
    <w:p>
      <w:pPr>
        <w:spacing w:after="80"/>
        <w:ind w:left="0"/>
      </w:pPr>
      <w:r>
        <w:rPr>
          <w:color w:val="334155"/>
          <w:sz w:val="20"/>
        </w:rPr>
        <w:t>Low-Income Housing Tax Credit — a federal program incentivizing affordable rental development.</w:t>
      </w:r>
    </w:p>
    <w:p>
      <w:pPr>
        <w:spacing w:before="120" w:after="20"/>
      </w:pPr>
      <w:r>
        <w:rPr>
          <w:b/>
          <w:color w:val="0A2240"/>
          <w:sz w:val="21"/>
        </w:rPr>
        <w:t>Mixed-Income Development</w:t>
      </w:r>
    </w:p>
    <w:p>
      <w:pPr>
        <w:spacing w:after="80"/>
        <w:ind w:left="0"/>
      </w:pPr>
      <w:r>
        <w:rPr>
          <w:color w:val="334155"/>
          <w:sz w:val="20"/>
        </w:rPr>
        <w:t>A property combining market-rate units with subsidized affordable units.</w:t>
      </w:r>
    </w:p>
    <w:p>
      <w:pPr>
        <w:spacing w:before="120" w:after="20"/>
      </w:pPr>
      <w:r>
        <w:rPr>
          <w:b/>
          <w:color w:val="0A2240"/>
          <w:sz w:val="21"/>
        </w:rPr>
        <w:t>Naturally Occurring Affordable Housing (NOAH)</w:t>
      </w:r>
    </w:p>
    <w:p>
      <w:pPr>
        <w:spacing w:after="80"/>
        <w:ind w:left="0"/>
      </w:pPr>
      <w:r>
        <w:rPr>
          <w:color w:val="334155"/>
          <w:sz w:val="20"/>
        </w:rPr>
        <w:t>Older market-rate housing that's affordable without subsidies.</w:t>
      </w:r>
    </w:p>
    <w:p>
      <w:pPr>
        <w:spacing w:before="120" w:after="20"/>
      </w:pPr>
      <w:r>
        <w:rPr>
          <w:b/>
          <w:color w:val="0A2240"/>
          <w:sz w:val="21"/>
        </w:rPr>
        <w:t>Project-Based Voucher</w:t>
      </w:r>
    </w:p>
    <w:p>
      <w:pPr>
        <w:spacing w:after="80"/>
        <w:ind w:left="0"/>
      </w:pPr>
      <w:r>
        <w:rPr>
          <w:color w:val="334155"/>
          <w:sz w:val="20"/>
        </w:rPr>
        <w:t>A Section 8 voucher attached to a specific unit rather than to a household.</w:t>
      </w:r>
    </w:p>
    <w:p>
      <w:pPr>
        <w:spacing w:before="120" w:after="20"/>
      </w:pPr>
      <w:r>
        <w:rPr>
          <w:b/>
          <w:color w:val="0A2240"/>
          <w:sz w:val="21"/>
        </w:rPr>
        <w:t>Section 8</w:t>
      </w:r>
    </w:p>
    <w:p>
      <w:pPr>
        <w:spacing w:after="80"/>
        <w:ind w:left="0"/>
      </w:pPr>
      <w:r>
        <w:rPr>
          <w:color w:val="334155"/>
          <w:sz w:val="20"/>
        </w:rPr>
        <w:t>A federal housing-choice voucher program that subsidizes rent for low-income tenants.</w:t>
      </w:r>
    </w:p>
    <w:p>
      <w:pPr>
        <w:spacing w:before="120" w:after="20"/>
      </w:pPr>
      <w:r>
        <w:rPr>
          <w:b/>
          <w:color w:val="0A2240"/>
          <w:sz w:val="21"/>
        </w:rPr>
        <w:t>VLI</w:t>
      </w:r>
    </w:p>
    <w:p>
      <w:pPr>
        <w:spacing w:after="80"/>
        <w:ind w:left="0"/>
      </w:pPr>
      <w:r>
        <w:rPr>
          <w:color w:val="334155"/>
          <w:sz w:val="20"/>
        </w:rPr>
        <w:t>Very Low Income — households earning 30-50% of AMI.</w:t>
      </w:r>
    </w:p>
    <w:p>
      <w:pPr>
        <w:spacing w:before="120" w:after="20"/>
      </w:pPr>
      <w:r>
        <w:rPr>
          <w:b/>
          <w:color w:val="0A2240"/>
          <w:sz w:val="21"/>
        </w:rPr>
        <w:t>Workforce Housing</w:t>
      </w:r>
    </w:p>
    <w:p>
      <w:pPr>
        <w:spacing w:after="80"/>
        <w:ind w:left="0"/>
      </w:pPr>
      <w:r>
        <w:rPr>
          <w:color w:val="334155"/>
          <w:sz w:val="20"/>
        </w:rPr>
        <w:t>Housing affordable to households earning 60-120% of area median income.</w:t>
      </w:r>
    </w:p>
    <w:p>
      <w:r>
        <w:rPr>
          <w:b/>
          <w:color w:val="B22234"/>
          <w:sz w:val="28"/>
        </w:rPr>
        <w:t>Appraisal &amp; Valuation</w:t>
      </w:r>
    </w:p>
    <w:p>
      <w:pPr>
        <w:spacing w:before="120" w:after="20"/>
      </w:pPr>
      <w:r>
        <w:rPr>
          <w:b/>
          <w:color w:val="0A2240"/>
          <w:sz w:val="21"/>
        </w:rPr>
        <w:t>Adjustment</w:t>
      </w:r>
    </w:p>
    <w:p>
      <w:pPr>
        <w:spacing w:after="80"/>
        <w:ind w:left="0"/>
      </w:pPr>
      <w:r>
        <w:rPr>
          <w:color w:val="334155"/>
          <w:sz w:val="20"/>
        </w:rPr>
        <w:t>Dollar additions or subtractions to comparable sale prices to account for differences.</w:t>
      </w:r>
    </w:p>
    <w:p>
      <w:pPr>
        <w:spacing w:before="120" w:after="20"/>
      </w:pPr>
      <w:r>
        <w:rPr>
          <w:b/>
          <w:color w:val="0A2240"/>
          <w:sz w:val="21"/>
        </w:rPr>
        <w:t>AMC</w:t>
      </w:r>
    </w:p>
    <w:p>
      <w:pPr>
        <w:spacing w:after="80"/>
        <w:ind w:left="0"/>
      </w:pPr>
      <w:r>
        <w:rPr>
          <w:color w:val="334155"/>
          <w:sz w:val="20"/>
        </w:rPr>
        <w:t>Appraisal Management Company — a third party that orders and reviews appraisals for lenders.</w:t>
      </w:r>
    </w:p>
    <w:p>
      <w:pPr>
        <w:spacing w:before="120" w:after="20"/>
      </w:pPr>
      <w:r>
        <w:rPr>
          <w:b/>
          <w:color w:val="0A2240"/>
          <w:sz w:val="21"/>
        </w:rPr>
        <w:t>Appraisal</w:t>
      </w:r>
    </w:p>
    <w:p>
      <w:pPr>
        <w:spacing w:after="80"/>
        <w:ind w:left="0"/>
      </w:pPr>
      <w:r>
        <w:rPr>
          <w:color w:val="334155"/>
          <w:sz w:val="20"/>
        </w:rPr>
        <w:t>A professional estimate of a property's market value.</w:t>
      </w:r>
    </w:p>
    <w:p>
      <w:pPr>
        <w:spacing w:before="120" w:after="20"/>
      </w:pPr>
      <w:r>
        <w:rPr>
          <w:b/>
          <w:color w:val="0A2240"/>
          <w:sz w:val="21"/>
        </w:rPr>
        <w:t>Appraisal Gap</w:t>
      </w:r>
    </w:p>
    <w:p>
      <w:pPr>
        <w:spacing w:after="80"/>
        <w:ind w:left="0"/>
      </w:pPr>
      <w:r>
        <w:rPr>
          <w:color w:val="334155"/>
          <w:sz w:val="20"/>
        </w:rPr>
        <w:t>The difference between an offer price and a lower appraised value.</w:t>
      </w:r>
    </w:p>
    <w:p>
      <w:pPr>
        <w:spacing w:before="120" w:after="20"/>
      </w:pPr>
      <w:r>
        <w:rPr>
          <w:b/>
          <w:color w:val="0A2240"/>
          <w:sz w:val="21"/>
        </w:rPr>
        <w:t>Assessment</w:t>
      </w:r>
    </w:p>
    <w:p>
      <w:pPr>
        <w:spacing w:after="80"/>
        <w:ind w:left="0"/>
      </w:pPr>
      <w:r>
        <w:rPr>
          <w:color w:val="334155"/>
          <w:sz w:val="20"/>
        </w:rPr>
        <w:t>The dollar value placed on a property by a local government for tax purposes.</w:t>
      </w:r>
    </w:p>
    <w:p>
      <w:pPr>
        <w:spacing w:before="120" w:after="20"/>
      </w:pPr>
      <w:r>
        <w:rPr>
          <w:b/>
          <w:color w:val="0A2240"/>
          <w:sz w:val="21"/>
        </w:rPr>
        <w:t>Broker's Price Opinion (BPO)</w:t>
      </w:r>
    </w:p>
    <w:p>
      <w:pPr>
        <w:spacing w:after="80"/>
        <w:ind w:left="0"/>
      </w:pPr>
      <w:r>
        <w:rPr>
          <w:color w:val="334155"/>
          <w:sz w:val="20"/>
        </w:rPr>
        <w:t>A broker's estimate of value, less formal than a full appraisal.</w:t>
      </w:r>
    </w:p>
    <w:p>
      <w:pPr>
        <w:spacing w:before="120" w:after="20"/>
      </w:pPr>
      <w:r>
        <w:rPr>
          <w:b/>
          <w:color w:val="0A2240"/>
          <w:sz w:val="21"/>
        </w:rPr>
        <w:t>Comparable Sale (Comp)</w:t>
      </w:r>
    </w:p>
    <w:p>
      <w:pPr>
        <w:spacing w:after="80"/>
        <w:ind w:left="0"/>
      </w:pPr>
      <w:r>
        <w:rPr>
          <w:color w:val="334155"/>
          <w:sz w:val="20"/>
        </w:rPr>
        <w:t>A recently sold property similar in size, location, and condition used for valuation.</w:t>
      </w:r>
    </w:p>
    <w:p>
      <w:pPr>
        <w:spacing w:before="120" w:after="20"/>
      </w:pPr>
      <w:r>
        <w:rPr>
          <w:b/>
          <w:color w:val="0A2240"/>
          <w:sz w:val="21"/>
        </w:rPr>
        <w:t>Comparative Market Analysis (CMA)</w:t>
      </w:r>
    </w:p>
    <w:p>
      <w:pPr>
        <w:spacing w:after="80"/>
        <w:ind w:left="0"/>
      </w:pPr>
      <w:r>
        <w:rPr>
          <w:color w:val="334155"/>
          <w:sz w:val="20"/>
        </w:rPr>
        <w:t>An agent's report comparing recent sales to estimate a listing or offer price.</w:t>
      </w:r>
    </w:p>
    <w:p>
      <w:pPr>
        <w:spacing w:before="120" w:after="20"/>
      </w:pPr>
      <w:r>
        <w:rPr>
          <w:b/>
          <w:color w:val="0A2240"/>
          <w:sz w:val="21"/>
        </w:rPr>
        <w:t>Cost Approach</w:t>
      </w:r>
    </w:p>
    <w:p>
      <w:pPr>
        <w:spacing w:after="80"/>
        <w:ind w:left="0"/>
      </w:pPr>
      <w:r>
        <w:rPr>
          <w:color w:val="334155"/>
          <w:sz w:val="20"/>
        </w:rPr>
        <w:t>A valuation method estimating the cost to rebuild less depreciation, plus land value.</w:t>
      </w:r>
    </w:p>
    <w:p>
      <w:pPr>
        <w:spacing w:before="120" w:after="20"/>
      </w:pPr>
      <w:r>
        <w:rPr>
          <w:b/>
          <w:color w:val="0A2240"/>
          <w:sz w:val="21"/>
        </w:rPr>
        <w:t>Days on Market (DOM)</w:t>
      </w:r>
    </w:p>
    <w:p>
      <w:pPr>
        <w:spacing w:after="80"/>
        <w:ind w:left="0"/>
      </w:pPr>
      <w:r>
        <w:rPr>
          <w:color w:val="334155"/>
          <w:sz w:val="20"/>
        </w:rPr>
        <w:t>The number of days a listing remains active before going under contract.</w:t>
      </w:r>
    </w:p>
    <w:p>
      <w:pPr>
        <w:spacing w:before="120" w:after="20"/>
      </w:pPr>
      <w:r>
        <w:rPr>
          <w:b/>
          <w:color w:val="0A2240"/>
          <w:sz w:val="21"/>
        </w:rPr>
        <w:t>Desktop Appraisal</w:t>
      </w:r>
    </w:p>
    <w:p>
      <w:pPr>
        <w:spacing w:after="80"/>
        <w:ind w:left="0"/>
      </w:pPr>
      <w:r>
        <w:rPr>
          <w:color w:val="334155"/>
          <w:sz w:val="20"/>
        </w:rPr>
        <w:t>An appraisal conducted entirely from existing data and photos, no site visit.</w:t>
      </w:r>
    </w:p>
    <w:p>
      <w:pPr>
        <w:spacing w:before="120" w:after="20"/>
      </w:pPr>
      <w:r>
        <w:rPr>
          <w:b/>
          <w:color w:val="0A2240"/>
          <w:sz w:val="21"/>
        </w:rPr>
        <w:t>Drive-By Appraisal</w:t>
      </w:r>
    </w:p>
    <w:p>
      <w:pPr>
        <w:spacing w:after="80"/>
        <w:ind w:left="0"/>
      </w:pPr>
      <w:r>
        <w:rPr>
          <w:color w:val="334155"/>
          <w:sz w:val="20"/>
        </w:rPr>
        <w:t>An exterior-only appraisal, used for some refinances and home equity loans.</w:t>
      </w:r>
    </w:p>
    <w:p>
      <w:pPr>
        <w:spacing w:before="120" w:after="20"/>
      </w:pPr>
      <w:r>
        <w:rPr>
          <w:b/>
          <w:color w:val="0A2240"/>
          <w:sz w:val="21"/>
        </w:rPr>
        <w:t>Economic Obsolescence</w:t>
      </w:r>
    </w:p>
    <w:p>
      <w:pPr>
        <w:spacing w:after="80"/>
        <w:ind w:left="0"/>
      </w:pPr>
      <w:r>
        <w:rPr>
          <w:color w:val="334155"/>
          <w:sz w:val="20"/>
        </w:rPr>
        <w:t>A decline in value caused by external factors like neighborhood decline or zoning changes.</w:t>
      </w:r>
    </w:p>
    <w:p>
      <w:pPr>
        <w:spacing w:before="120" w:after="20"/>
      </w:pPr>
      <w:r>
        <w:rPr>
          <w:b/>
          <w:color w:val="0A2240"/>
          <w:sz w:val="21"/>
        </w:rPr>
        <w:t>Effective Age</w:t>
      </w:r>
    </w:p>
    <w:p>
      <w:pPr>
        <w:spacing w:after="80"/>
        <w:ind w:left="0"/>
      </w:pPr>
      <w:r>
        <w:rPr>
          <w:color w:val="334155"/>
          <w:sz w:val="20"/>
        </w:rPr>
        <w:t>An appraiser's estimate of a property's age based on its condition, not actual years.</w:t>
      </w:r>
    </w:p>
    <w:p>
      <w:pPr>
        <w:spacing w:before="120" w:after="20"/>
      </w:pPr>
      <w:r>
        <w:rPr>
          <w:b/>
          <w:color w:val="0A2240"/>
          <w:sz w:val="21"/>
        </w:rPr>
        <w:t>Effective Date of Value</w:t>
      </w:r>
    </w:p>
    <w:p>
      <w:pPr>
        <w:spacing w:after="80"/>
        <w:ind w:left="0"/>
      </w:pPr>
      <w:r>
        <w:rPr>
          <w:color w:val="334155"/>
          <w:sz w:val="20"/>
        </w:rPr>
        <w:t>The date the appraised value reflects, not necessarily the inspection date.</w:t>
      </w:r>
    </w:p>
    <w:p>
      <w:pPr>
        <w:spacing w:before="120" w:after="20"/>
      </w:pPr>
      <w:r>
        <w:rPr>
          <w:b/>
          <w:color w:val="0A2240"/>
          <w:sz w:val="21"/>
        </w:rPr>
        <w:t>Functional Obsolescence</w:t>
      </w:r>
    </w:p>
    <w:p>
      <w:pPr>
        <w:spacing w:after="80"/>
        <w:ind w:left="0"/>
      </w:pPr>
      <w:r>
        <w:rPr>
          <w:color w:val="334155"/>
          <w:sz w:val="20"/>
        </w:rPr>
        <w:t>A decline in value due to outdated features or poor design relative to current preferences.</w:t>
      </w:r>
    </w:p>
    <w:p>
      <w:pPr>
        <w:spacing w:before="120" w:after="20"/>
      </w:pPr>
      <w:r>
        <w:rPr>
          <w:b/>
          <w:color w:val="0A2240"/>
          <w:sz w:val="21"/>
        </w:rPr>
        <w:t>GRM</w:t>
      </w:r>
    </w:p>
    <w:p>
      <w:pPr>
        <w:spacing w:after="80"/>
        <w:ind w:left="0"/>
      </w:pPr>
      <w:r>
        <w:rPr>
          <w:color w:val="334155"/>
          <w:sz w:val="20"/>
        </w:rPr>
        <w:t>Gross Rent Multiplier — sale price divided by gross annual rent, a quick valuation tool.</w:t>
      </w:r>
    </w:p>
    <w:p>
      <w:pPr>
        <w:spacing w:before="120" w:after="20"/>
      </w:pPr>
      <w:r>
        <w:rPr>
          <w:b/>
          <w:color w:val="0A2240"/>
          <w:sz w:val="21"/>
        </w:rPr>
        <w:t>Highest and Best Use</w:t>
      </w:r>
    </w:p>
    <w:p>
      <w:pPr>
        <w:spacing w:after="80"/>
        <w:ind w:left="0"/>
      </w:pPr>
      <w:r>
        <w:rPr>
          <w:color w:val="334155"/>
          <w:sz w:val="20"/>
        </w:rPr>
        <w:t>The legally permissible, financially feasible use that produces the greatest value.</w:t>
      </w:r>
    </w:p>
    <w:p>
      <w:pPr>
        <w:spacing w:before="120" w:after="20"/>
      </w:pPr>
      <w:r>
        <w:rPr>
          <w:b/>
          <w:color w:val="0A2240"/>
          <w:sz w:val="21"/>
        </w:rPr>
        <w:t>Income Approach</w:t>
      </w:r>
    </w:p>
    <w:p>
      <w:pPr>
        <w:spacing w:after="80"/>
        <w:ind w:left="0"/>
      </w:pPr>
      <w:r>
        <w:rPr>
          <w:color w:val="334155"/>
          <w:sz w:val="20"/>
        </w:rPr>
        <w:t>A valuation method using a property's income stream and an appropriate cap rate.</w:t>
      </w:r>
    </w:p>
    <w:p>
      <w:pPr>
        <w:spacing w:before="120" w:after="20"/>
      </w:pPr>
      <w:r>
        <w:rPr>
          <w:b/>
          <w:color w:val="0A2240"/>
          <w:sz w:val="21"/>
        </w:rPr>
        <w:t>Listing-to-Sale Ratio</w:t>
      </w:r>
    </w:p>
    <w:p>
      <w:pPr>
        <w:spacing w:after="80"/>
        <w:ind w:left="0"/>
      </w:pPr>
      <w:r>
        <w:rPr>
          <w:color w:val="334155"/>
          <w:sz w:val="20"/>
        </w:rPr>
        <w:t>Sale price divided by list price — a measure of negotiation room in a market.</w:t>
      </w:r>
    </w:p>
    <w:p>
      <w:pPr>
        <w:spacing w:before="120" w:after="20"/>
      </w:pPr>
      <w:r>
        <w:rPr>
          <w:b/>
          <w:color w:val="0A2240"/>
          <w:sz w:val="21"/>
        </w:rPr>
        <w:t>Paired Sales Analysis</w:t>
      </w:r>
    </w:p>
    <w:p>
      <w:pPr>
        <w:spacing w:after="80"/>
        <w:ind w:left="0"/>
      </w:pPr>
      <w:r>
        <w:rPr>
          <w:color w:val="334155"/>
          <w:sz w:val="20"/>
        </w:rPr>
        <w:t>Comparing two similar sales to isolate the value of a single feature.</w:t>
      </w:r>
    </w:p>
    <w:p>
      <w:pPr>
        <w:spacing w:before="120" w:after="20"/>
      </w:pPr>
      <w:r>
        <w:rPr>
          <w:b/>
          <w:color w:val="0A2240"/>
          <w:sz w:val="21"/>
        </w:rPr>
        <w:t>Physical Depreciation</w:t>
      </w:r>
    </w:p>
    <w:p>
      <w:pPr>
        <w:spacing w:after="80"/>
        <w:ind w:left="0"/>
      </w:pPr>
      <w:r>
        <w:rPr>
          <w:color w:val="334155"/>
          <w:sz w:val="20"/>
        </w:rPr>
        <w:t>Wear and tear on a property over time.</w:t>
      </w:r>
    </w:p>
    <w:p>
      <w:pPr>
        <w:spacing w:before="120" w:after="20"/>
      </w:pPr>
      <w:r>
        <w:rPr>
          <w:b/>
          <w:color w:val="0A2240"/>
          <w:sz w:val="21"/>
        </w:rPr>
        <w:t>Reconciliation</w:t>
      </w:r>
    </w:p>
    <w:p>
      <w:pPr>
        <w:spacing w:after="80"/>
        <w:ind w:left="0"/>
      </w:pPr>
      <w:r>
        <w:rPr>
          <w:color w:val="334155"/>
          <w:sz w:val="20"/>
        </w:rPr>
        <w:t>The appraiser's process of weighing multiple value indications to reach a final opinion.</w:t>
      </w:r>
    </w:p>
    <w:p>
      <w:pPr>
        <w:spacing w:before="120" w:after="20"/>
      </w:pPr>
      <w:r>
        <w:rPr>
          <w:b/>
          <w:color w:val="0A2240"/>
          <w:sz w:val="21"/>
        </w:rPr>
        <w:t>Restricted Appraisal Report</w:t>
      </w:r>
    </w:p>
    <w:p>
      <w:pPr>
        <w:spacing w:after="80"/>
        <w:ind w:left="0"/>
      </w:pPr>
      <w:r>
        <w:rPr>
          <w:color w:val="334155"/>
          <w:sz w:val="20"/>
        </w:rPr>
        <w:t>A short-form appraisal for a single client with limited use.</w:t>
      </w:r>
    </w:p>
    <w:p>
      <w:pPr>
        <w:spacing w:before="120" w:after="20"/>
      </w:pPr>
      <w:r>
        <w:rPr>
          <w:b/>
          <w:color w:val="0A2240"/>
          <w:sz w:val="21"/>
        </w:rPr>
        <w:t>Sales Comparison Approach</w:t>
      </w:r>
    </w:p>
    <w:p>
      <w:pPr>
        <w:spacing w:after="80"/>
        <w:ind w:left="0"/>
      </w:pPr>
      <w:r>
        <w:rPr>
          <w:color w:val="334155"/>
          <w:sz w:val="20"/>
        </w:rPr>
        <w:t>A valuation method based on prices of similar properties recently sold.</w:t>
      </w:r>
    </w:p>
    <w:p>
      <w:pPr>
        <w:spacing w:before="120" w:after="20"/>
      </w:pPr>
      <w:r>
        <w:rPr>
          <w:b/>
          <w:color w:val="0A2240"/>
          <w:sz w:val="21"/>
        </w:rPr>
        <w:t>Subject Property</w:t>
      </w:r>
    </w:p>
    <w:p>
      <w:pPr>
        <w:spacing w:after="80"/>
        <w:ind w:left="0"/>
      </w:pPr>
      <w:r>
        <w:rPr>
          <w:color w:val="334155"/>
          <w:sz w:val="20"/>
        </w:rPr>
        <w:t>The property being appraised.</w:t>
      </w:r>
    </w:p>
    <w:p>
      <w:pPr>
        <w:spacing w:before="120" w:after="20"/>
      </w:pPr>
      <w:r>
        <w:rPr>
          <w:b/>
          <w:color w:val="0A2240"/>
          <w:sz w:val="21"/>
        </w:rPr>
        <w:t>URAR</w:t>
      </w:r>
    </w:p>
    <w:p>
      <w:pPr>
        <w:spacing w:after="80"/>
        <w:ind w:left="0"/>
      </w:pPr>
      <w:r>
        <w:rPr>
          <w:color w:val="334155"/>
          <w:sz w:val="20"/>
        </w:rPr>
        <w:t>Uniform Residential Appraisal Report — the standard form for single-family appraisals.</w:t>
      </w:r>
    </w:p>
    <w:p>
      <w:pPr>
        <w:spacing w:before="120" w:after="20"/>
      </w:pPr>
      <w:r>
        <w:rPr>
          <w:b/>
          <w:color w:val="0A2240"/>
          <w:sz w:val="21"/>
        </w:rPr>
        <w:t>USPAP</w:t>
      </w:r>
    </w:p>
    <w:p>
      <w:pPr>
        <w:spacing w:after="80"/>
        <w:ind w:left="0"/>
      </w:pPr>
      <w:r>
        <w:rPr>
          <w:color w:val="334155"/>
          <w:sz w:val="20"/>
        </w:rPr>
        <w:t>Uniform Standards of Professional Appraisal Practice — the appraisal industry's ethics framework.</w:t>
      </w:r>
    </w:p>
    <w:p>
      <w:r>
        <w:rPr>
          <w:b/>
          <w:color w:val="B22234"/>
          <w:sz w:val="28"/>
        </w:rPr>
        <w:t>Arizona Real Estate Law</w:t>
      </w:r>
    </w:p>
    <w:p>
      <w:pPr>
        <w:spacing w:before="120" w:after="20"/>
      </w:pPr>
      <w:r>
        <w:rPr>
          <w:b/>
          <w:color w:val="0A2240"/>
          <w:sz w:val="21"/>
        </w:rPr>
        <w:t>A.R.S. Title 32 Chapter 20</w:t>
      </w:r>
    </w:p>
    <w:p>
      <w:pPr>
        <w:spacing w:after="80"/>
        <w:ind w:left="0"/>
      </w:pPr>
      <w:r>
        <w:rPr>
          <w:color w:val="334155"/>
          <w:sz w:val="20"/>
        </w:rPr>
        <w:t>The Arizona Revised Statutes chapter that governs real estate licensing, transactions, and disclosures.</w:t>
      </w:r>
    </w:p>
    <w:p>
      <w:pPr>
        <w:spacing w:before="120" w:after="20"/>
      </w:pPr>
      <w:r>
        <w:rPr>
          <w:b/>
          <w:color w:val="0A2240"/>
          <w:sz w:val="21"/>
        </w:rPr>
        <w:t>AAR</w:t>
      </w:r>
    </w:p>
    <w:p>
      <w:pPr>
        <w:spacing w:after="80"/>
        <w:ind w:left="0"/>
      </w:pPr>
      <w:r>
        <w:rPr>
          <w:color w:val="334155"/>
          <w:sz w:val="20"/>
        </w:rPr>
        <w:t>Arizona Association of REALTORS® — provides the standard contract forms used in most AZ transactions.</w:t>
      </w:r>
    </w:p>
    <w:p>
      <w:pPr>
        <w:spacing w:before="120" w:after="20"/>
      </w:pPr>
      <w:r>
        <w:rPr>
          <w:b/>
          <w:color w:val="0A2240"/>
          <w:sz w:val="21"/>
        </w:rPr>
        <w:t>AAR Counter Offer</w:t>
      </w:r>
    </w:p>
    <w:p>
      <w:pPr>
        <w:spacing w:after="80"/>
        <w:ind w:left="0"/>
      </w:pPr>
      <w:r>
        <w:rPr>
          <w:color w:val="334155"/>
          <w:sz w:val="20"/>
        </w:rPr>
        <w:t>The standard AAR form used to modify and respond to a purchase offer in Arizona.</w:t>
      </w:r>
    </w:p>
    <w:p>
      <w:pPr>
        <w:spacing w:before="120" w:after="20"/>
      </w:pPr>
      <w:r>
        <w:rPr>
          <w:b/>
          <w:color w:val="0A2240"/>
          <w:sz w:val="21"/>
        </w:rPr>
        <w:t>AAR Residential Resale Purchase Contract</w:t>
      </w:r>
    </w:p>
    <w:p>
      <w:pPr>
        <w:spacing w:after="80"/>
        <w:ind w:left="0"/>
      </w:pPr>
      <w:r>
        <w:rPr>
          <w:color w:val="334155"/>
          <w:sz w:val="20"/>
        </w:rPr>
        <w:t>The most common AZ contract form for resale single-family home purchases.</w:t>
      </w:r>
    </w:p>
    <w:p>
      <w:pPr>
        <w:spacing w:before="120" w:after="20"/>
      </w:pPr>
      <w:r>
        <w:rPr>
          <w:b/>
          <w:color w:val="0A2240"/>
          <w:sz w:val="21"/>
        </w:rPr>
        <w:t>Active Management Area (AMA)</w:t>
      </w:r>
    </w:p>
    <w:p>
      <w:pPr>
        <w:spacing w:after="80"/>
        <w:ind w:left="0"/>
      </w:pPr>
      <w:r>
        <w:rPr>
          <w:color w:val="334155"/>
          <w:sz w:val="20"/>
        </w:rPr>
        <w:t>Designated AZ regions with strict groundwater regulations under the 1980 Groundwater Management Act.</w:t>
      </w:r>
    </w:p>
    <w:p>
      <w:pPr>
        <w:spacing w:before="120" w:after="20"/>
      </w:pPr>
      <w:r>
        <w:rPr>
          <w:b/>
          <w:color w:val="0A2240"/>
          <w:sz w:val="21"/>
        </w:rPr>
        <w:t>Adequate Water Supply Determination</w:t>
      </w:r>
    </w:p>
    <w:p>
      <w:pPr>
        <w:spacing w:after="80"/>
        <w:ind w:left="0"/>
      </w:pPr>
      <w:r>
        <w:rPr>
          <w:color w:val="334155"/>
          <w:sz w:val="20"/>
        </w:rPr>
        <w:t>Required disclosure outside Active Management Areas confirming a water supply for new subdivisions.</w:t>
      </w:r>
    </w:p>
    <w:p>
      <w:pPr>
        <w:spacing w:before="120" w:after="20"/>
      </w:pPr>
      <w:r>
        <w:rPr>
          <w:b/>
          <w:color w:val="0A2240"/>
          <w:sz w:val="21"/>
        </w:rPr>
        <w:t>ADRE</w:t>
      </w:r>
    </w:p>
    <w:p>
      <w:pPr>
        <w:spacing w:after="80"/>
        <w:ind w:left="0"/>
      </w:pPr>
      <w:r>
        <w:rPr>
          <w:color w:val="334155"/>
          <w:sz w:val="20"/>
        </w:rPr>
        <w:t>Arizona Department of Real Estate — the state agency that regulates licensees and enforces real estate law.</w:t>
      </w:r>
    </w:p>
    <w:p>
      <w:pPr>
        <w:spacing w:before="120" w:after="20"/>
      </w:pPr>
      <w:r>
        <w:rPr>
          <w:b/>
          <w:color w:val="0A2240"/>
          <w:sz w:val="21"/>
        </w:rPr>
        <w:t>ADRE Disciplinary Action</w:t>
      </w:r>
    </w:p>
    <w:p>
      <w:pPr>
        <w:spacing w:after="80"/>
        <w:ind w:left="0"/>
      </w:pPr>
      <w:r>
        <w:rPr>
          <w:color w:val="334155"/>
          <w:sz w:val="20"/>
        </w:rPr>
        <w:t>Penalties (fines, suspension, revocation) the ADRE Commissioner may impose for license violations.</w:t>
      </w:r>
    </w:p>
    <w:p>
      <w:pPr>
        <w:spacing w:before="120" w:after="20"/>
      </w:pPr>
      <w:r>
        <w:rPr>
          <w:b/>
          <w:color w:val="0A2240"/>
          <w:sz w:val="21"/>
        </w:rPr>
        <w:t>Affidavit of Affixture</w:t>
      </w:r>
    </w:p>
    <w:p>
      <w:pPr>
        <w:spacing w:after="80"/>
        <w:ind w:left="0"/>
      </w:pPr>
      <w:r>
        <w:rPr>
          <w:color w:val="334155"/>
          <w:sz w:val="20"/>
        </w:rPr>
        <w:t>An AZ filing converting a manufactured home from personal property to real property.</w:t>
      </w:r>
    </w:p>
    <w:p>
      <w:pPr>
        <w:spacing w:before="120" w:after="20"/>
      </w:pPr>
      <w:r>
        <w:rPr>
          <w:b/>
          <w:color w:val="0A2240"/>
          <w:sz w:val="21"/>
        </w:rPr>
        <w:t>Affidavit of Property Value (APV)</w:t>
      </w:r>
    </w:p>
    <w:p>
      <w:pPr>
        <w:spacing w:after="80"/>
        <w:ind w:left="0"/>
      </w:pPr>
      <w:r>
        <w:rPr>
          <w:color w:val="334155"/>
          <w:sz w:val="20"/>
        </w:rPr>
        <w:t>A document filed at AZ closings stating the sale price for assessor records.</w:t>
      </w:r>
    </w:p>
    <w:p>
      <w:pPr>
        <w:spacing w:before="120" w:after="20"/>
      </w:pPr>
      <w:r>
        <w:rPr>
          <w:b/>
          <w:color w:val="0A2240"/>
          <w:sz w:val="21"/>
        </w:rPr>
        <w:t>ALTA Plain Language Closing Form</w:t>
      </w:r>
    </w:p>
    <w:p>
      <w:pPr>
        <w:spacing w:after="80"/>
        <w:ind w:left="0"/>
      </w:pPr>
      <w:r>
        <w:rPr>
          <w:color w:val="334155"/>
          <w:sz w:val="20"/>
        </w:rPr>
        <w:t>A simplified closing statement used in many Arizona transactions to make charges clear.</w:t>
      </w:r>
    </w:p>
    <w:p>
      <w:pPr>
        <w:spacing w:before="120" w:after="20"/>
      </w:pPr>
      <w:r>
        <w:rPr>
          <w:b/>
          <w:color w:val="0A2240"/>
          <w:sz w:val="21"/>
        </w:rPr>
        <w:t>Arizona 20-Day Preliminary Notice</w:t>
      </w:r>
    </w:p>
    <w:p>
      <w:pPr>
        <w:spacing w:after="80"/>
        <w:ind w:left="0"/>
      </w:pPr>
      <w:r>
        <w:rPr>
          <w:color w:val="334155"/>
          <w:sz w:val="20"/>
        </w:rPr>
        <w:t>A required notice contractors must serve within 20 days to preserve mechanic's lien rights in AZ.</w:t>
      </w:r>
    </w:p>
    <w:p>
      <w:pPr>
        <w:spacing w:before="120" w:after="20"/>
      </w:pPr>
      <w:r>
        <w:rPr>
          <w:b/>
          <w:color w:val="0A2240"/>
          <w:sz w:val="21"/>
        </w:rPr>
        <w:t>Arizona Anti-Deficiency Statute</w:t>
      </w:r>
    </w:p>
    <w:p>
      <w:pPr>
        <w:spacing w:after="80"/>
        <w:ind w:left="0"/>
      </w:pPr>
      <w:r>
        <w:rPr>
          <w:color w:val="334155"/>
          <w:sz w:val="20"/>
        </w:rPr>
        <w:t>A.R.S. §§ 33-729 &amp; 33-814 protecting homeowners on 1-2 unit residential property up to 2.5 acres from deficiency judgments.</w:t>
      </w:r>
    </w:p>
    <w:p>
      <w:pPr>
        <w:spacing w:before="120" w:after="20"/>
      </w:pPr>
      <w:r>
        <w:rPr>
          <w:b/>
          <w:color w:val="0A2240"/>
          <w:sz w:val="21"/>
        </w:rPr>
        <w:t>Arizona Condominium Act</w:t>
      </w:r>
    </w:p>
    <w:p>
      <w:pPr>
        <w:spacing w:after="80"/>
        <w:ind w:left="0"/>
      </w:pPr>
      <w:r>
        <w:rPr>
          <w:color w:val="334155"/>
          <w:sz w:val="20"/>
        </w:rPr>
        <w:t>A.R.S. Title 33 Chapter 9 — governs condominium creation, governance, and disclosures in AZ.</w:t>
      </w:r>
    </w:p>
    <w:p>
      <w:pPr>
        <w:spacing w:before="120" w:after="20"/>
      </w:pPr>
      <w:r>
        <w:rPr>
          <w:b/>
          <w:color w:val="0A2240"/>
          <w:sz w:val="21"/>
        </w:rPr>
        <w:t>Arizona Conveyance Tax</w:t>
      </w:r>
    </w:p>
    <w:p>
      <w:pPr>
        <w:spacing w:after="80"/>
        <w:ind w:left="0"/>
      </w:pPr>
      <w:r>
        <w:rPr>
          <w:color w:val="334155"/>
          <w:sz w:val="20"/>
        </w:rPr>
        <w:t>Arizona does NOT impose a state transfer tax on real estate conveyances — a buyer-friendly feature.</w:t>
      </w:r>
    </w:p>
    <w:p>
      <w:pPr>
        <w:spacing w:before="120" w:after="20"/>
      </w:pPr>
      <w:r>
        <w:rPr>
          <w:b/>
          <w:color w:val="0A2240"/>
          <w:sz w:val="21"/>
        </w:rPr>
        <w:t>Arizona Deed of Trust</w:t>
      </w:r>
    </w:p>
    <w:p>
      <w:pPr>
        <w:spacing w:after="80"/>
        <w:ind w:left="0"/>
      </w:pPr>
      <w:r>
        <w:rPr>
          <w:color w:val="334155"/>
          <w:sz w:val="20"/>
        </w:rPr>
        <w:t>The primary security instrument used in AZ home loans, with a trustee holding bare title.</w:t>
      </w:r>
    </w:p>
    <w:p>
      <w:pPr>
        <w:spacing w:before="120" w:after="20"/>
      </w:pPr>
      <w:r>
        <w:rPr>
          <w:b/>
          <w:color w:val="0A2240"/>
          <w:sz w:val="21"/>
        </w:rPr>
        <w:t>Arizona HOA Open Meeting Law</w:t>
      </w:r>
    </w:p>
    <w:p>
      <w:pPr>
        <w:spacing w:after="80"/>
        <w:ind w:left="0"/>
      </w:pPr>
      <w:r>
        <w:rPr>
          <w:color w:val="334155"/>
          <w:sz w:val="20"/>
        </w:rPr>
        <w:t>A.R.S. § 33-1804 / § 33-1248 — requires planned community and condo associations to hold open board meetings.</w:t>
      </w:r>
    </w:p>
    <w:p>
      <w:pPr>
        <w:spacing w:before="120" w:after="20"/>
      </w:pPr>
      <w:r>
        <w:rPr>
          <w:b/>
          <w:color w:val="0A2240"/>
          <w:sz w:val="21"/>
        </w:rPr>
        <w:t>Arizona Homestead Exemption</w:t>
      </w:r>
    </w:p>
    <w:p>
      <w:pPr>
        <w:spacing w:after="80"/>
        <w:ind w:left="0"/>
      </w:pPr>
      <w:r>
        <w:rPr>
          <w:color w:val="334155"/>
          <w:sz w:val="20"/>
        </w:rPr>
        <w:t>A.R.S. § 33-1101 — protects up to $400,000 of equity in a primary residence from most creditors.</w:t>
      </w:r>
    </w:p>
    <w:p>
      <w:pPr>
        <w:spacing w:before="120" w:after="20"/>
      </w:pPr>
      <w:r>
        <w:rPr>
          <w:b/>
          <w:color w:val="0A2240"/>
          <w:sz w:val="21"/>
        </w:rPr>
        <w:t>Arizona Lien Priority</w:t>
      </w:r>
    </w:p>
    <w:p>
      <w:pPr>
        <w:spacing w:after="80"/>
        <w:ind w:left="0"/>
      </w:pPr>
      <w:r>
        <w:rPr>
          <w:color w:val="334155"/>
          <w:sz w:val="20"/>
        </w:rPr>
        <w:t>First-recorded liens generally have priority in Arizona, with some statutory exceptions for taxes and mechanics liens.</w:t>
      </w:r>
    </w:p>
    <w:p>
      <w:pPr>
        <w:spacing w:before="120" w:after="20"/>
      </w:pPr>
      <w:r>
        <w:rPr>
          <w:b/>
          <w:color w:val="0A2240"/>
          <w:sz w:val="21"/>
        </w:rPr>
        <w:t>Arizona Lis Pendens Statute</w:t>
      </w:r>
    </w:p>
    <w:p>
      <w:pPr>
        <w:spacing w:after="80"/>
        <w:ind w:left="0"/>
      </w:pPr>
      <w:r>
        <w:rPr>
          <w:color w:val="334155"/>
          <w:sz w:val="20"/>
        </w:rPr>
        <w:t>A.R.S. § 12-1191 et seq. — governs the recording of notices of pending real estate lawsuits.</w:t>
      </w:r>
    </w:p>
    <w:p>
      <w:pPr>
        <w:spacing w:before="120" w:after="20"/>
      </w:pPr>
      <w:r>
        <w:rPr>
          <w:b/>
          <w:color w:val="0A2240"/>
          <w:sz w:val="21"/>
        </w:rPr>
        <w:t>Arizona Mobile Home Parks Residential Landlord Tenant Act</w:t>
      </w:r>
    </w:p>
    <w:p>
      <w:pPr>
        <w:spacing w:after="80"/>
        <w:ind w:left="0"/>
      </w:pPr>
      <w:r>
        <w:rPr>
          <w:color w:val="334155"/>
          <w:sz w:val="20"/>
        </w:rPr>
        <w:t>A.R.S. Title 33 Chapter 11 — governs landlord-tenant rules in AZ mobile home parks.</w:t>
      </w:r>
    </w:p>
    <w:p>
      <w:pPr>
        <w:spacing w:before="120" w:after="20"/>
      </w:pPr>
      <w:r>
        <w:rPr>
          <w:b/>
          <w:color w:val="0A2240"/>
          <w:sz w:val="21"/>
        </w:rPr>
        <w:t>Arizona Public Report</w:t>
      </w:r>
    </w:p>
    <w:p>
      <w:pPr>
        <w:spacing w:after="80"/>
        <w:ind w:left="0"/>
      </w:pPr>
      <w:r>
        <w:rPr>
          <w:color w:val="334155"/>
          <w:sz w:val="20"/>
        </w:rPr>
        <w:t>A required ADRE disclosure document for subdivided land of 6+ lots — buyers must receive it before closing.</w:t>
      </w:r>
    </w:p>
    <w:p>
      <w:pPr>
        <w:spacing w:before="120" w:after="20"/>
      </w:pPr>
      <w:r>
        <w:rPr>
          <w:b/>
          <w:color w:val="0A2240"/>
          <w:sz w:val="21"/>
        </w:rPr>
        <w:t>Arizona Quiet Title Action</w:t>
      </w:r>
    </w:p>
    <w:p>
      <w:pPr>
        <w:spacing w:after="80"/>
        <w:ind w:left="0"/>
      </w:pPr>
      <w:r>
        <w:rPr>
          <w:color w:val="334155"/>
          <w:sz w:val="20"/>
        </w:rPr>
        <w:t>A lawsuit under A.R.S. § 12-1101 et seq. to resolve title disputes or clear defects.</w:t>
      </w:r>
    </w:p>
    <w:p>
      <w:pPr>
        <w:spacing w:before="120" w:after="20"/>
      </w:pPr>
      <w:r>
        <w:rPr>
          <w:b/>
          <w:color w:val="0A2240"/>
          <w:sz w:val="21"/>
        </w:rPr>
        <w:t>Arizona Real Estate Recovery Fund</w:t>
      </w:r>
    </w:p>
    <w:p>
      <w:pPr>
        <w:spacing w:after="80"/>
        <w:ind w:left="0"/>
      </w:pPr>
      <w:r>
        <w:rPr>
          <w:color w:val="334155"/>
          <w:sz w:val="20"/>
        </w:rPr>
        <w:t>A consumer protection fund (A.R.S. § 32-2186) compensating victims of licensee fraud or misconduct.</w:t>
      </w:r>
    </w:p>
    <w:p>
      <w:pPr>
        <w:spacing w:before="120" w:after="20"/>
      </w:pPr>
      <w:r>
        <w:rPr>
          <w:b/>
          <w:color w:val="0A2240"/>
          <w:sz w:val="21"/>
        </w:rPr>
        <w:t>Arizona Residential Landlord Tenant Act (ARLTA)</w:t>
      </w:r>
    </w:p>
    <w:p>
      <w:pPr>
        <w:spacing w:after="80"/>
        <w:ind w:left="0"/>
      </w:pPr>
      <w:r>
        <w:rPr>
          <w:color w:val="334155"/>
          <w:sz w:val="20"/>
        </w:rPr>
        <w:t>A.R.S. Title 33 Chapter 10 — the law governing most residential rentals in Arizona.</w:t>
      </w:r>
    </w:p>
    <w:p>
      <w:pPr>
        <w:spacing w:before="120" w:after="20"/>
      </w:pPr>
      <w:r>
        <w:rPr>
          <w:b/>
          <w:color w:val="0A2240"/>
          <w:sz w:val="21"/>
        </w:rPr>
        <w:t>Arizona Solar Easement</w:t>
      </w:r>
    </w:p>
    <w:p>
      <w:pPr>
        <w:spacing w:after="80"/>
        <w:ind w:left="0"/>
      </w:pPr>
      <w:r>
        <w:rPr>
          <w:color w:val="334155"/>
          <w:sz w:val="20"/>
        </w:rPr>
        <w:t>A recorded agreement protecting access to sunlight, recognized by A.R.S. § 33-439.</w:t>
      </w:r>
    </w:p>
    <w:p>
      <w:pPr>
        <w:spacing w:before="120" w:after="20"/>
      </w:pPr>
      <w:r>
        <w:rPr>
          <w:b/>
          <w:color w:val="0A2240"/>
          <w:sz w:val="21"/>
        </w:rPr>
        <w:t>Arizona Trustee Sale</w:t>
      </w:r>
    </w:p>
    <w:p>
      <w:pPr>
        <w:spacing w:after="80"/>
        <w:ind w:left="0"/>
      </w:pPr>
      <w:r>
        <w:rPr>
          <w:color w:val="334155"/>
          <w:sz w:val="20"/>
        </w:rPr>
        <w:t>A non-judicial foreclosure under a deed of trust, the dominant foreclosure path in Arizona.</w:t>
      </w:r>
    </w:p>
    <w:p>
      <w:pPr>
        <w:spacing w:before="120" w:after="20"/>
      </w:pPr>
      <w:r>
        <w:rPr>
          <w:b/>
          <w:color w:val="0A2240"/>
          <w:sz w:val="21"/>
        </w:rPr>
        <w:t>AZ Assured Water Supply Designation</w:t>
      </w:r>
    </w:p>
    <w:p>
      <w:pPr>
        <w:spacing w:after="80"/>
        <w:ind w:left="0"/>
      </w:pPr>
      <w:r>
        <w:rPr>
          <w:color w:val="334155"/>
          <w:sz w:val="20"/>
        </w:rPr>
        <w:t>Required certification in Active Management Areas that a 100-year water supply exists for new subdivisions.</w:t>
      </w:r>
    </w:p>
    <w:p>
      <w:pPr>
        <w:spacing w:before="120" w:after="20"/>
      </w:pPr>
      <w:r>
        <w:rPr>
          <w:b/>
          <w:color w:val="0A2240"/>
          <w:sz w:val="21"/>
        </w:rPr>
        <w:t>AZ Form 200 (Counter Offer)</w:t>
      </w:r>
    </w:p>
    <w:p>
      <w:pPr>
        <w:spacing w:after="80"/>
        <w:ind w:left="0"/>
      </w:pPr>
      <w:r>
        <w:rPr>
          <w:color w:val="334155"/>
          <w:sz w:val="20"/>
        </w:rPr>
        <w:t>Standard AAR counter offer form used to modify and respond to offers in Arizona residential transactions.</w:t>
      </w:r>
    </w:p>
    <w:p>
      <w:pPr>
        <w:spacing w:before="120" w:after="20"/>
      </w:pPr>
      <w:r>
        <w:rPr>
          <w:b/>
          <w:color w:val="0A2240"/>
          <w:sz w:val="21"/>
        </w:rPr>
        <w:t>AZ Special Detainer Action</w:t>
      </w:r>
    </w:p>
    <w:p>
      <w:pPr>
        <w:spacing w:after="80"/>
        <w:ind w:left="0"/>
      </w:pPr>
      <w:r>
        <w:rPr>
          <w:color w:val="334155"/>
          <w:sz w:val="20"/>
        </w:rPr>
        <w:t>The Arizona name for the eviction lawsuit filed in Justice Court after notice has expired.</w:t>
      </w:r>
    </w:p>
    <w:p>
      <w:pPr>
        <w:spacing w:before="120" w:after="20"/>
      </w:pPr>
      <w:r>
        <w:rPr>
          <w:b/>
          <w:color w:val="0A2240"/>
          <w:sz w:val="21"/>
        </w:rPr>
        <w:t>Beneficiary Deed (AZ)</w:t>
      </w:r>
    </w:p>
    <w:p>
      <w:pPr>
        <w:spacing w:after="80"/>
        <w:ind w:left="0"/>
      </w:pPr>
      <w:r>
        <w:rPr>
          <w:color w:val="334155"/>
          <w:sz w:val="20"/>
        </w:rPr>
        <w:t>A.R.S. § 33-405 — an AZ deed that transfers property at death without probate, revocable during life.</w:t>
      </w:r>
    </w:p>
    <w:p>
      <w:pPr>
        <w:spacing w:before="120" w:after="20"/>
      </w:pPr>
      <w:r>
        <w:rPr>
          <w:b/>
          <w:color w:val="0A2240"/>
          <w:sz w:val="21"/>
        </w:rPr>
        <w:t>BINSR</w:t>
      </w:r>
    </w:p>
    <w:p>
      <w:pPr>
        <w:spacing w:after="80"/>
        <w:ind w:left="0"/>
      </w:pPr>
      <w:r>
        <w:rPr>
          <w:color w:val="334155"/>
          <w:sz w:val="20"/>
        </w:rPr>
        <w:t>Buyer's Inspection Notice and Seller's Response — the AZ form used to negotiate repairs after inspection.</w:t>
      </w:r>
    </w:p>
    <w:p>
      <w:pPr>
        <w:spacing w:before="120" w:after="20"/>
      </w:pPr>
      <w:r>
        <w:rPr>
          <w:b/>
          <w:color w:val="0A2240"/>
          <w:sz w:val="21"/>
        </w:rPr>
        <w:t>Branch Manager (AZ)</w:t>
      </w:r>
    </w:p>
    <w:p>
      <w:pPr>
        <w:spacing w:after="80"/>
        <w:ind w:left="0"/>
      </w:pPr>
      <w:r>
        <w:rPr>
          <w:color w:val="334155"/>
          <w:sz w:val="20"/>
        </w:rPr>
        <w:t>A self-employed broker designated to supervise a brokerage's branch office in Arizona.</w:t>
      </w:r>
    </w:p>
    <w:p>
      <w:pPr>
        <w:spacing w:before="120" w:after="20"/>
      </w:pPr>
      <w:r>
        <w:rPr>
          <w:b/>
          <w:color w:val="0A2240"/>
          <w:sz w:val="21"/>
        </w:rPr>
        <w:t>Broker Trust Account</w:t>
      </w:r>
    </w:p>
    <w:p>
      <w:pPr>
        <w:spacing w:after="80"/>
        <w:ind w:left="0"/>
      </w:pPr>
      <w:r>
        <w:rPr>
          <w:color w:val="334155"/>
          <w:sz w:val="20"/>
        </w:rPr>
        <w:t>An AZ-required separate account holding earnest money and client funds, audited by ADRE.</w:t>
      </w:r>
    </w:p>
    <w:p>
      <w:pPr>
        <w:spacing w:before="120" w:after="20"/>
      </w:pPr>
      <w:r>
        <w:rPr>
          <w:b/>
          <w:color w:val="0A2240"/>
          <w:sz w:val="21"/>
        </w:rPr>
        <w:t>Cancellation Notice (AAR)</w:t>
      </w:r>
    </w:p>
    <w:p>
      <w:pPr>
        <w:spacing w:after="80"/>
        <w:ind w:left="0"/>
      </w:pPr>
      <w:r>
        <w:rPr>
          <w:color w:val="334155"/>
          <w:sz w:val="20"/>
        </w:rPr>
        <w:t>The standard AAR form for canceling a residential purchase contract per its terms.</w:t>
      </w:r>
    </w:p>
    <w:p>
      <w:pPr>
        <w:spacing w:before="120" w:after="20"/>
      </w:pPr>
      <w:r>
        <w:rPr>
          <w:b/>
          <w:color w:val="0A2240"/>
          <w:sz w:val="21"/>
        </w:rPr>
        <w:t>Commissioner's Rules</w:t>
      </w:r>
    </w:p>
    <w:p>
      <w:pPr>
        <w:spacing w:after="80"/>
        <w:ind w:left="0"/>
      </w:pPr>
      <w:r>
        <w:rPr>
          <w:color w:val="334155"/>
          <w:sz w:val="20"/>
        </w:rPr>
        <w:t>Administrative regulations adopted by the ADRE Commissioner governing real estate practice in Arizona.</w:t>
      </w:r>
    </w:p>
    <w:p>
      <w:pPr>
        <w:spacing w:before="120" w:after="20"/>
      </w:pPr>
      <w:r>
        <w:rPr>
          <w:b/>
          <w:color w:val="0A2240"/>
          <w:sz w:val="21"/>
        </w:rPr>
        <w:t>Community Facilities District (CFD-AZ)</w:t>
      </w:r>
    </w:p>
    <w:p>
      <w:pPr>
        <w:spacing w:after="80"/>
        <w:ind w:left="0"/>
      </w:pPr>
      <w:r>
        <w:rPr>
          <w:color w:val="334155"/>
          <w:sz w:val="20"/>
        </w:rPr>
        <w:t>An Arizona special taxing district financing infrastructure for a new development.</w:t>
      </w:r>
    </w:p>
    <w:p>
      <w:pPr>
        <w:spacing w:before="120" w:after="20"/>
      </w:pPr>
      <w:r>
        <w:rPr>
          <w:b/>
          <w:color w:val="0A2240"/>
          <w:sz w:val="21"/>
        </w:rPr>
        <w:t>Community Property (AZ)</w:t>
      </w:r>
    </w:p>
    <w:p>
      <w:pPr>
        <w:spacing w:after="80"/>
        <w:ind w:left="0"/>
      </w:pPr>
      <w:r>
        <w:rPr>
          <w:color w:val="334155"/>
          <w:sz w:val="20"/>
        </w:rPr>
        <w:t>Property acquired during marriage in Arizona, presumed jointly owned by both spouses.</w:t>
      </w:r>
    </w:p>
    <w:p>
      <w:pPr>
        <w:spacing w:before="120" w:after="20"/>
      </w:pPr>
      <w:r>
        <w:rPr>
          <w:b/>
          <w:color w:val="0A2240"/>
          <w:sz w:val="21"/>
        </w:rPr>
        <w:t>Community Property with Right of Survivorship (CPWROS)</w:t>
      </w:r>
    </w:p>
    <w:p>
      <w:pPr>
        <w:spacing w:after="80"/>
        <w:ind w:left="0"/>
      </w:pPr>
      <w:r>
        <w:rPr>
          <w:color w:val="334155"/>
          <w:sz w:val="20"/>
        </w:rPr>
        <w:t>An Arizona vesting that combines community property tax benefits with automatic survivorship.</w:t>
      </w:r>
    </w:p>
    <w:p>
      <w:pPr>
        <w:spacing w:before="120" w:after="20"/>
      </w:pPr>
      <w:r>
        <w:rPr>
          <w:b/>
          <w:color w:val="0A2240"/>
          <w:sz w:val="21"/>
        </w:rPr>
        <w:t>Designated Broker (AZ)</w:t>
      </w:r>
    </w:p>
    <w:p>
      <w:pPr>
        <w:spacing w:after="80"/>
        <w:ind w:left="0"/>
      </w:pPr>
      <w:r>
        <w:rPr>
          <w:color w:val="334155"/>
          <w:sz w:val="20"/>
        </w:rPr>
        <w:t>The single broker legally responsible for an Arizona brokerage's compliance and supervision.</w:t>
      </w:r>
    </w:p>
    <w:p>
      <w:pPr>
        <w:spacing w:before="120" w:after="20"/>
      </w:pPr>
      <w:r>
        <w:rPr>
          <w:b/>
          <w:color w:val="0A2240"/>
          <w:sz w:val="21"/>
        </w:rPr>
        <w:t>Disclaimer Deed</w:t>
      </w:r>
    </w:p>
    <w:p>
      <w:pPr>
        <w:spacing w:after="80"/>
        <w:ind w:left="0"/>
      </w:pPr>
      <w:r>
        <w:rPr>
          <w:color w:val="334155"/>
          <w:sz w:val="20"/>
        </w:rPr>
        <w:t>An AZ deed where a non-titled spouse formally disclaims any community-property interest.</w:t>
      </w:r>
    </w:p>
    <w:p>
      <w:pPr>
        <w:spacing w:before="120" w:after="20"/>
      </w:pPr>
      <w:r>
        <w:rPr>
          <w:b/>
          <w:color w:val="0A2240"/>
          <w:sz w:val="21"/>
        </w:rPr>
        <w:t>Domestic Well (Exempt Well)</w:t>
      </w:r>
    </w:p>
    <w:p>
      <w:pPr>
        <w:spacing w:after="80"/>
        <w:ind w:left="0"/>
      </w:pPr>
      <w:r>
        <w:rPr>
          <w:color w:val="334155"/>
          <w:sz w:val="20"/>
        </w:rPr>
        <w:t>A small AZ well pumping under 35 GPM, exempt from most groundwater permitting.</w:t>
      </w:r>
    </w:p>
    <w:p>
      <w:pPr>
        <w:spacing w:before="120" w:after="20"/>
      </w:pPr>
      <w:r>
        <w:rPr>
          <w:b/>
          <w:color w:val="0A2240"/>
          <w:sz w:val="21"/>
        </w:rPr>
        <w:t>Five-Day Health &amp; Safety Notice</w:t>
      </w:r>
    </w:p>
    <w:p>
      <w:pPr>
        <w:spacing w:after="80"/>
        <w:ind w:left="0"/>
      </w:pPr>
      <w:r>
        <w:rPr>
          <w:color w:val="334155"/>
          <w:sz w:val="20"/>
        </w:rPr>
        <w:t>An AZ notice for material health and safety violations by a tenant.</w:t>
      </w:r>
    </w:p>
    <w:p>
      <w:pPr>
        <w:spacing w:before="120" w:after="20"/>
      </w:pPr>
      <w:r>
        <w:rPr>
          <w:b/>
          <w:color w:val="0A2240"/>
          <w:sz w:val="21"/>
        </w:rPr>
        <w:t>Five-Day Notice</w:t>
      </w:r>
    </w:p>
    <w:p>
      <w:pPr>
        <w:spacing w:after="80"/>
        <w:ind w:left="0"/>
      </w:pPr>
      <w:r>
        <w:rPr>
          <w:color w:val="334155"/>
          <w:sz w:val="20"/>
        </w:rPr>
        <w:t>An AZ landlord's notice for nonpayment of rent under ARLTA before eviction may proceed.</w:t>
      </w:r>
    </w:p>
    <w:p>
      <w:pPr>
        <w:spacing w:before="120" w:after="20"/>
      </w:pPr>
      <w:r>
        <w:rPr>
          <w:b/>
          <w:color w:val="0A2240"/>
          <w:sz w:val="21"/>
        </w:rPr>
        <w:t>HOA Resale Disclosure (AZ)</w:t>
      </w:r>
    </w:p>
    <w:p>
      <w:pPr>
        <w:spacing w:after="80"/>
        <w:ind w:left="0"/>
      </w:pPr>
      <w:r>
        <w:rPr>
          <w:color w:val="334155"/>
          <w:sz w:val="20"/>
        </w:rPr>
        <w:t>Documents an Arizona HOA must furnish to the seller of a unit before closing.</w:t>
      </w:r>
    </w:p>
    <w:p>
      <w:pPr>
        <w:spacing w:before="120" w:after="20"/>
      </w:pPr>
      <w:r>
        <w:rPr>
          <w:b/>
          <w:color w:val="0A2240"/>
          <w:sz w:val="21"/>
        </w:rPr>
        <w:t>Loan Status Update (LSU)</w:t>
      </w:r>
    </w:p>
    <w:p>
      <w:pPr>
        <w:spacing w:after="80"/>
        <w:ind w:left="0"/>
      </w:pPr>
      <w:r>
        <w:rPr>
          <w:color w:val="334155"/>
          <w:sz w:val="20"/>
        </w:rPr>
        <w:t>An AAR form used in Arizona to update the seller on the buyer's loan progress.</w:t>
      </w:r>
    </w:p>
    <w:p>
      <w:pPr>
        <w:spacing w:before="120" w:after="20"/>
      </w:pPr>
      <w:r>
        <w:rPr>
          <w:b/>
          <w:color w:val="0A2240"/>
          <w:sz w:val="21"/>
        </w:rPr>
        <w:t>Mechanic's Lien (Arizona)</w:t>
      </w:r>
    </w:p>
    <w:p>
      <w:pPr>
        <w:spacing w:after="80"/>
        <w:ind w:left="0"/>
      </w:pPr>
      <w:r>
        <w:rPr>
          <w:color w:val="334155"/>
          <w:sz w:val="20"/>
        </w:rPr>
        <w:t>A.R.S. § 33-981 et seq. — contractors and suppliers can lien property for unpaid work in Arizona.</w:t>
      </w:r>
    </w:p>
    <w:p>
      <w:pPr>
        <w:spacing w:before="120" w:after="20"/>
      </w:pPr>
      <w:r>
        <w:rPr>
          <w:b/>
          <w:color w:val="0A2240"/>
          <w:sz w:val="21"/>
        </w:rPr>
        <w:t>Mello-Roos (Not Arizona)</w:t>
      </w:r>
    </w:p>
    <w:p>
      <w:pPr>
        <w:spacing w:after="80"/>
        <w:ind w:left="0"/>
      </w:pPr>
      <w:r>
        <w:rPr>
          <w:color w:val="334155"/>
          <w:sz w:val="20"/>
        </w:rPr>
        <w:t>A California-only special district financing — not used in Arizona but sometimes confused with CFDs.</w:t>
      </w:r>
    </w:p>
    <w:p>
      <w:pPr>
        <w:spacing w:before="120" w:after="20"/>
      </w:pPr>
      <w:r>
        <w:rPr>
          <w:b/>
          <w:color w:val="0A2240"/>
          <w:sz w:val="21"/>
        </w:rPr>
        <w:t>Notice of Trustee Sale (AZ)</w:t>
      </w:r>
    </w:p>
    <w:p>
      <w:pPr>
        <w:spacing w:after="80"/>
        <w:ind w:left="0"/>
      </w:pPr>
      <w:r>
        <w:rPr>
          <w:color w:val="334155"/>
          <w:sz w:val="20"/>
        </w:rPr>
        <w:t>The recorded notice that begins Arizona's 90-day non-judicial foreclosure timeline.</w:t>
      </w:r>
    </w:p>
    <w:p>
      <w:pPr>
        <w:spacing w:before="120" w:after="20"/>
      </w:pPr>
      <w:r>
        <w:rPr>
          <w:b/>
          <w:color w:val="0A2240"/>
          <w:sz w:val="21"/>
        </w:rPr>
        <w:t>Planned Community Act (AZ)</w:t>
      </w:r>
    </w:p>
    <w:p>
      <w:pPr>
        <w:spacing w:after="80"/>
        <w:ind w:left="0"/>
      </w:pPr>
      <w:r>
        <w:rPr>
          <w:color w:val="334155"/>
          <w:sz w:val="20"/>
        </w:rPr>
        <w:t>A.R.S. Title 33 Chapter 16 — governs Arizona planned communities and their HOAs.</w:t>
      </w:r>
    </w:p>
    <w:p>
      <w:pPr>
        <w:spacing w:before="120" w:after="20"/>
      </w:pPr>
      <w:r>
        <w:rPr>
          <w:b/>
          <w:color w:val="0A2240"/>
          <w:sz w:val="21"/>
        </w:rPr>
        <w:t>Sole and Separate Property</w:t>
      </w:r>
    </w:p>
    <w:p>
      <w:pPr>
        <w:spacing w:after="80"/>
        <w:ind w:left="0"/>
      </w:pPr>
      <w:r>
        <w:rPr>
          <w:color w:val="334155"/>
          <w:sz w:val="20"/>
        </w:rPr>
        <w:t>An AZ vesting for property owned individually, often acquired before marriage or by gift.</w:t>
      </w:r>
    </w:p>
    <w:p>
      <w:pPr>
        <w:spacing w:before="120" w:after="20"/>
      </w:pPr>
      <w:r>
        <w:rPr>
          <w:b/>
          <w:color w:val="0A2240"/>
          <w:sz w:val="21"/>
        </w:rPr>
        <w:t>SPDS</w:t>
      </w:r>
    </w:p>
    <w:p>
      <w:pPr>
        <w:spacing w:after="80"/>
        <w:ind w:left="0"/>
      </w:pPr>
      <w:r>
        <w:rPr>
          <w:color w:val="334155"/>
          <w:sz w:val="20"/>
        </w:rPr>
        <w:t>Seller's Property Disclosure Statement — an AZ form where the seller discloses known material facts about the property.</w:t>
      </w:r>
    </w:p>
    <w:p>
      <w:pPr>
        <w:spacing w:before="120" w:after="20"/>
      </w:pPr>
      <w:r>
        <w:rPr>
          <w:b/>
          <w:color w:val="0A2240"/>
          <w:sz w:val="21"/>
        </w:rPr>
        <w:t>Subdivision Public Report</w:t>
      </w:r>
    </w:p>
    <w:p>
      <w:pPr>
        <w:spacing w:after="80"/>
        <w:ind w:left="0"/>
      </w:pPr>
      <w:r>
        <w:rPr>
          <w:color w:val="334155"/>
          <w:sz w:val="20"/>
        </w:rPr>
        <w:t>The ADRE-issued report disclosing key facts about a subdivision, given to AZ buyers.</w:t>
      </w:r>
    </w:p>
    <w:p>
      <w:pPr>
        <w:spacing w:before="120" w:after="20"/>
      </w:pPr>
      <w:r>
        <w:rPr>
          <w:b/>
          <w:color w:val="0A2240"/>
          <w:sz w:val="21"/>
        </w:rPr>
        <w:t>Ten-Day Notice (Cure)</w:t>
      </w:r>
    </w:p>
    <w:p>
      <w:pPr>
        <w:spacing w:after="80"/>
        <w:ind w:left="0"/>
      </w:pPr>
      <w:r>
        <w:rPr>
          <w:color w:val="334155"/>
          <w:sz w:val="20"/>
        </w:rPr>
        <w:t>An AZ notice giving a tenant 10 days to cure a non-rent lease violation.</w:t>
      </w:r>
    </w:p>
    <w:p>
      <w:pPr>
        <w:spacing w:before="120" w:after="20"/>
      </w:pPr>
      <w:r>
        <w:rPr>
          <w:b/>
          <w:color w:val="0A2240"/>
          <w:sz w:val="21"/>
        </w:rPr>
        <w:t>Well Share Agreement</w:t>
      </w:r>
    </w:p>
    <w:p>
      <w:pPr>
        <w:spacing w:after="80"/>
        <w:ind w:left="0"/>
      </w:pPr>
      <w:r>
        <w:rPr>
          <w:color w:val="334155"/>
          <w:sz w:val="20"/>
        </w:rPr>
        <w:t>A recorded AZ document outlining joint rights and costs for properties sharing a domestic well.</w:t>
      </w:r>
    </w:p>
    <w:p>
      <w:r>
        <w:rPr>
          <w:b/>
          <w:color w:val="B22234"/>
          <w:sz w:val="28"/>
        </w:rPr>
        <w:t>Brokerage &amp; Agency</w:t>
      </w:r>
    </w:p>
    <w:p>
      <w:pPr>
        <w:spacing w:before="120" w:after="20"/>
      </w:pPr>
      <w:r>
        <w:rPr>
          <w:b/>
          <w:color w:val="0A2240"/>
          <w:sz w:val="21"/>
        </w:rPr>
        <w:t>Agency Disclosure</w:t>
      </w:r>
    </w:p>
    <w:p>
      <w:pPr>
        <w:spacing w:after="80"/>
        <w:ind w:left="0"/>
      </w:pPr>
      <w:r>
        <w:rPr>
          <w:color w:val="334155"/>
          <w:sz w:val="20"/>
        </w:rPr>
        <w:t>Written notice required by most states explaining which party an agent represents.</w:t>
      </w:r>
    </w:p>
    <w:p>
      <w:pPr>
        <w:spacing w:before="120" w:after="20"/>
      </w:pPr>
      <w:r>
        <w:rPr>
          <w:b/>
          <w:color w:val="0A2240"/>
          <w:sz w:val="21"/>
        </w:rPr>
        <w:t>Broker</w:t>
      </w:r>
    </w:p>
    <w:p>
      <w:pPr>
        <w:spacing w:after="80"/>
        <w:ind w:left="0"/>
      </w:pPr>
      <w:r>
        <w:rPr>
          <w:color w:val="334155"/>
          <w:sz w:val="20"/>
        </w:rPr>
        <w:t>A licensed professional who can supervise other agents and run an independent brokerage.</w:t>
      </w:r>
    </w:p>
    <w:p>
      <w:pPr>
        <w:spacing w:before="120" w:after="20"/>
      </w:pPr>
      <w:r>
        <w:rPr>
          <w:b/>
          <w:color w:val="0A2240"/>
          <w:sz w:val="21"/>
        </w:rPr>
        <w:t>Buyer's Agency Agreement</w:t>
      </w:r>
    </w:p>
    <w:p>
      <w:pPr>
        <w:spacing w:after="80"/>
        <w:ind w:left="0"/>
      </w:pPr>
      <w:r>
        <w:rPr>
          <w:color w:val="334155"/>
          <w:sz w:val="20"/>
        </w:rPr>
        <w:t>A contract formalizing the relationship between a buyer and their agent.</w:t>
      </w:r>
    </w:p>
    <w:p>
      <w:pPr>
        <w:spacing w:before="120" w:after="20"/>
      </w:pPr>
      <w:r>
        <w:rPr>
          <w:b/>
          <w:color w:val="0A2240"/>
          <w:sz w:val="21"/>
        </w:rPr>
        <w:t>Buyer's Agent</w:t>
      </w:r>
    </w:p>
    <w:p>
      <w:pPr>
        <w:spacing w:after="80"/>
        <w:ind w:left="0"/>
      </w:pPr>
      <w:r>
        <w:rPr>
          <w:color w:val="334155"/>
          <w:sz w:val="20"/>
        </w:rPr>
        <w:t>A real estate professional representing the buyer in a transaction.</w:t>
      </w:r>
    </w:p>
    <w:p>
      <w:pPr>
        <w:spacing w:before="120" w:after="20"/>
      </w:pPr>
      <w:r>
        <w:rPr>
          <w:b/>
          <w:color w:val="0A2240"/>
          <w:sz w:val="21"/>
        </w:rPr>
        <w:t>Commission</w:t>
      </w:r>
    </w:p>
    <w:p>
      <w:pPr>
        <w:spacing w:after="80"/>
        <w:ind w:left="0"/>
      </w:pPr>
      <w:r>
        <w:rPr>
          <w:color w:val="334155"/>
          <w:sz w:val="20"/>
        </w:rPr>
        <w:t>Compensation paid to brokers, typically a percentage of the sale price.</w:t>
      </w:r>
    </w:p>
    <w:p>
      <w:pPr>
        <w:spacing w:before="120" w:after="20"/>
      </w:pPr>
      <w:r>
        <w:rPr>
          <w:b/>
          <w:color w:val="0A2240"/>
          <w:sz w:val="21"/>
        </w:rPr>
        <w:t>Commission Split</w:t>
      </w:r>
    </w:p>
    <w:p>
      <w:pPr>
        <w:spacing w:after="80"/>
        <w:ind w:left="0"/>
      </w:pPr>
      <w:r>
        <w:rPr>
          <w:color w:val="334155"/>
          <w:sz w:val="20"/>
        </w:rPr>
        <w:t>How brokerage commission is divided between the broker and the agent.</w:t>
      </w:r>
    </w:p>
    <w:p>
      <w:pPr>
        <w:spacing w:before="120" w:after="20"/>
      </w:pPr>
      <w:r>
        <w:rPr>
          <w:b/>
          <w:color w:val="0A2240"/>
          <w:sz w:val="21"/>
        </w:rPr>
        <w:t>Cooperating Broker</w:t>
      </w:r>
    </w:p>
    <w:p>
      <w:pPr>
        <w:spacing w:after="80"/>
        <w:ind w:left="0"/>
      </w:pPr>
      <w:r>
        <w:rPr>
          <w:color w:val="334155"/>
          <w:sz w:val="20"/>
        </w:rPr>
        <w:t>A broker who represents the buyer and shares commission with the listing broker.</w:t>
      </w:r>
    </w:p>
    <w:p>
      <w:pPr>
        <w:spacing w:before="120" w:after="20"/>
      </w:pPr>
      <w:r>
        <w:rPr>
          <w:b/>
          <w:color w:val="0A2240"/>
          <w:sz w:val="21"/>
        </w:rPr>
        <w:t>Cooperating Commission</w:t>
      </w:r>
    </w:p>
    <w:p>
      <w:pPr>
        <w:spacing w:after="80"/>
        <w:ind w:left="0"/>
      </w:pPr>
      <w:r>
        <w:rPr>
          <w:color w:val="334155"/>
          <w:sz w:val="20"/>
        </w:rPr>
        <w:t>The portion of commission offered to the buyer's broker by the listing broker.</w:t>
      </w:r>
    </w:p>
    <w:p>
      <w:pPr>
        <w:spacing w:before="120" w:after="20"/>
      </w:pPr>
      <w:r>
        <w:rPr>
          <w:b/>
          <w:color w:val="0A2240"/>
          <w:sz w:val="21"/>
        </w:rPr>
        <w:t>Designated Agency</w:t>
      </w:r>
    </w:p>
    <w:p>
      <w:pPr>
        <w:spacing w:after="80"/>
        <w:ind w:left="0"/>
      </w:pPr>
      <w:r>
        <w:rPr>
          <w:color w:val="334155"/>
          <w:sz w:val="20"/>
        </w:rPr>
        <w:t>Different agents within one brokerage representing buyer and seller separately.</w:t>
      </w:r>
    </w:p>
    <w:p>
      <w:pPr>
        <w:spacing w:before="120" w:after="20"/>
      </w:pPr>
      <w:r>
        <w:rPr>
          <w:b/>
          <w:color w:val="0A2240"/>
          <w:sz w:val="21"/>
        </w:rPr>
        <w:t>Dual Agency</w:t>
      </w:r>
    </w:p>
    <w:p>
      <w:pPr>
        <w:spacing w:after="80"/>
        <w:ind w:left="0"/>
      </w:pPr>
      <w:r>
        <w:rPr>
          <w:color w:val="334155"/>
          <w:sz w:val="20"/>
        </w:rPr>
        <w:t>When one agent or brokerage represents both buyer and seller in the same transaction.</w:t>
      </w:r>
    </w:p>
    <w:p>
      <w:pPr>
        <w:spacing w:before="120" w:after="20"/>
      </w:pPr>
      <w:r>
        <w:rPr>
          <w:b/>
          <w:color w:val="0A2240"/>
          <w:sz w:val="21"/>
        </w:rPr>
        <w:t>Exclusive Right to Sell</w:t>
      </w:r>
    </w:p>
    <w:p>
      <w:pPr>
        <w:spacing w:after="80"/>
        <w:ind w:left="0"/>
      </w:pPr>
      <w:r>
        <w:rPr>
          <w:color w:val="334155"/>
          <w:sz w:val="20"/>
        </w:rPr>
        <w:t>The most common listing agreement, paying the broker regardless of who finds the buyer.</w:t>
      </w:r>
    </w:p>
    <w:p>
      <w:pPr>
        <w:spacing w:before="120" w:after="20"/>
      </w:pPr>
      <w:r>
        <w:rPr>
          <w:b/>
          <w:color w:val="0A2240"/>
          <w:sz w:val="21"/>
        </w:rPr>
        <w:t>Fiduciary Duty</w:t>
      </w:r>
    </w:p>
    <w:p>
      <w:pPr>
        <w:spacing w:after="80"/>
        <w:ind w:left="0"/>
      </w:pPr>
      <w:r>
        <w:rPr>
          <w:color w:val="334155"/>
          <w:sz w:val="20"/>
        </w:rPr>
        <w:t>An agent's legal obligation to act in their client's best interest with loyalty and care.</w:t>
      </w:r>
    </w:p>
    <w:p>
      <w:pPr>
        <w:spacing w:before="120" w:after="20"/>
      </w:pPr>
      <w:r>
        <w:rPr>
          <w:b/>
          <w:color w:val="0A2240"/>
          <w:sz w:val="21"/>
        </w:rPr>
        <w:t>Listing Agreement</w:t>
      </w:r>
    </w:p>
    <w:p>
      <w:pPr>
        <w:spacing w:after="80"/>
        <w:ind w:left="0"/>
      </w:pPr>
      <w:r>
        <w:rPr>
          <w:color w:val="334155"/>
          <w:sz w:val="20"/>
        </w:rPr>
        <w:t>A contract authorizing a broker to market and sell a property.</w:t>
      </w:r>
    </w:p>
    <w:p>
      <w:pPr>
        <w:spacing w:before="120" w:after="20"/>
      </w:pPr>
      <w:r>
        <w:rPr>
          <w:b/>
          <w:color w:val="0A2240"/>
          <w:sz w:val="21"/>
        </w:rPr>
        <w:t>Listing Broker</w:t>
      </w:r>
    </w:p>
    <w:p>
      <w:pPr>
        <w:spacing w:after="80"/>
        <w:ind w:left="0"/>
      </w:pPr>
      <w:r>
        <w:rPr>
          <w:color w:val="334155"/>
          <w:sz w:val="20"/>
        </w:rPr>
        <w:t>The broker who represents the seller in a transaction.</w:t>
      </w:r>
    </w:p>
    <w:p>
      <w:pPr>
        <w:spacing w:before="120" w:after="20"/>
      </w:pPr>
      <w:r>
        <w:rPr>
          <w:b/>
          <w:color w:val="0A2240"/>
          <w:sz w:val="21"/>
        </w:rPr>
        <w:t>Lockbox</w:t>
      </w:r>
    </w:p>
    <w:p>
      <w:pPr>
        <w:spacing w:after="80"/>
        <w:ind w:left="0"/>
      </w:pPr>
      <w:r>
        <w:rPr>
          <w:color w:val="334155"/>
          <w:sz w:val="20"/>
        </w:rPr>
        <w:t>A secure device holding a property key, accessible only to authorized agents.</w:t>
      </w:r>
    </w:p>
    <w:p>
      <w:pPr>
        <w:spacing w:before="120" w:after="20"/>
      </w:pPr>
      <w:r>
        <w:rPr>
          <w:b/>
          <w:color w:val="0A2240"/>
          <w:sz w:val="21"/>
        </w:rPr>
        <w:t>Managing Broker</w:t>
      </w:r>
    </w:p>
    <w:p>
      <w:pPr>
        <w:spacing w:after="80"/>
        <w:ind w:left="0"/>
      </w:pPr>
      <w:r>
        <w:rPr>
          <w:color w:val="334155"/>
          <w:sz w:val="20"/>
        </w:rPr>
        <w:t>The licensed broker responsible for supervising an office and its agents.</w:t>
      </w:r>
    </w:p>
    <w:p>
      <w:pPr>
        <w:spacing w:before="120" w:after="20"/>
      </w:pPr>
      <w:r>
        <w:rPr>
          <w:b/>
          <w:color w:val="0A2240"/>
          <w:sz w:val="21"/>
        </w:rPr>
        <w:t>MLS</w:t>
      </w:r>
    </w:p>
    <w:p>
      <w:pPr>
        <w:spacing w:after="80"/>
        <w:ind w:left="0"/>
      </w:pPr>
      <w:r>
        <w:rPr>
          <w:color w:val="334155"/>
          <w:sz w:val="20"/>
        </w:rPr>
        <w:t>Multiple Listing Service — a database of property listings shared among real estate professionals.</w:t>
      </w:r>
    </w:p>
    <w:p>
      <w:pPr>
        <w:spacing w:before="120" w:after="20"/>
      </w:pPr>
      <w:r>
        <w:rPr>
          <w:b/>
          <w:color w:val="0A2240"/>
          <w:sz w:val="21"/>
        </w:rPr>
        <w:t>Net Listing</w:t>
      </w:r>
    </w:p>
    <w:p>
      <w:pPr>
        <w:spacing w:after="80"/>
        <w:ind w:left="0"/>
      </w:pPr>
      <w:r>
        <w:rPr>
          <w:color w:val="334155"/>
          <w:sz w:val="20"/>
        </w:rPr>
        <w:t>A listing where the broker keeps anything above an agreed seller's net — often illegal or restricted.</w:t>
      </w:r>
    </w:p>
    <w:p>
      <w:pPr>
        <w:spacing w:before="120" w:after="20"/>
      </w:pPr>
      <w:r>
        <w:rPr>
          <w:b/>
          <w:color w:val="0A2240"/>
          <w:sz w:val="21"/>
        </w:rPr>
        <w:t>Open House</w:t>
      </w:r>
    </w:p>
    <w:p>
      <w:pPr>
        <w:spacing w:after="80"/>
        <w:ind w:left="0"/>
      </w:pPr>
      <w:r>
        <w:rPr>
          <w:color w:val="334155"/>
          <w:sz w:val="20"/>
        </w:rPr>
        <w:t>A scheduled time when a listed property is open for unscheduled buyer visits.</w:t>
      </w:r>
    </w:p>
    <w:p>
      <w:pPr>
        <w:spacing w:before="120" w:after="20"/>
      </w:pPr>
      <w:r>
        <w:rPr>
          <w:b/>
          <w:color w:val="0A2240"/>
          <w:sz w:val="21"/>
        </w:rPr>
        <w:t>Open Listing</w:t>
      </w:r>
    </w:p>
    <w:p>
      <w:pPr>
        <w:spacing w:after="80"/>
        <w:ind w:left="0"/>
      </w:pPr>
      <w:r>
        <w:rPr>
          <w:color w:val="334155"/>
          <w:sz w:val="20"/>
        </w:rPr>
        <w:t>A non-exclusive listing where any agent who finds a buyer earns commission.</w:t>
      </w:r>
    </w:p>
    <w:p>
      <w:pPr>
        <w:spacing w:before="120" w:after="20"/>
      </w:pPr>
      <w:r>
        <w:rPr>
          <w:b/>
          <w:color w:val="0A2240"/>
          <w:sz w:val="21"/>
        </w:rPr>
        <w:t>Pocket Listing</w:t>
      </w:r>
    </w:p>
    <w:p>
      <w:pPr>
        <w:spacing w:after="80"/>
        <w:ind w:left="0"/>
      </w:pPr>
      <w:r>
        <w:rPr>
          <w:color w:val="334155"/>
          <w:sz w:val="20"/>
        </w:rPr>
        <w:t>A property marketed privately within a brokerage rather than placed in the MLS.</w:t>
      </w:r>
    </w:p>
    <w:p>
      <w:pPr>
        <w:spacing w:before="120" w:after="20"/>
      </w:pPr>
      <w:r>
        <w:rPr>
          <w:b/>
          <w:color w:val="0A2240"/>
          <w:sz w:val="21"/>
        </w:rPr>
        <w:t>Procuring Cause</w:t>
      </w:r>
    </w:p>
    <w:p>
      <w:pPr>
        <w:spacing w:after="80"/>
        <w:ind w:left="0"/>
      </w:pPr>
      <w:r>
        <w:rPr>
          <w:color w:val="334155"/>
          <w:sz w:val="20"/>
        </w:rPr>
        <w:t>The agent whose efforts directly led to a buyer's purchase — entitled to commission.</w:t>
      </w:r>
    </w:p>
    <w:p>
      <w:pPr>
        <w:spacing w:before="120" w:after="20"/>
      </w:pPr>
      <w:r>
        <w:rPr>
          <w:b/>
          <w:color w:val="0A2240"/>
          <w:sz w:val="21"/>
        </w:rPr>
        <w:t>REALTOR®</w:t>
      </w:r>
    </w:p>
    <w:p>
      <w:pPr>
        <w:spacing w:after="80"/>
        <w:ind w:left="0"/>
      </w:pPr>
      <w:r>
        <w:rPr>
          <w:color w:val="334155"/>
          <w:sz w:val="20"/>
        </w:rPr>
        <w:t>A real estate licensee who is a member of the National Association of REALTORS®.</w:t>
      </w:r>
    </w:p>
    <w:p>
      <w:pPr>
        <w:spacing w:before="120" w:after="20"/>
      </w:pPr>
      <w:r>
        <w:rPr>
          <w:b/>
          <w:color w:val="0A2240"/>
          <w:sz w:val="21"/>
        </w:rPr>
        <w:t>Referral Fee</w:t>
      </w:r>
    </w:p>
    <w:p>
      <w:pPr>
        <w:spacing w:after="80"/>
        <w:ind w:left="0"/>
      </w:pPr>
      <w:r>
        <w:rPr>
          <w:color w:val="334155"/>
          <w:sz w:val="20"/>
        </w:rPr>
        <w:t>Commission paid to another agent for referring a client.</w:t>
      </w:r>
    </w:p>
    <w:p>
      <w:pPr>
        <w:spacing w:before="120" w:after="20"/>
      </w:pPr>
      <w:r>
        <w:rPr>
          <w:b/>
          <w:color w:val="0A2240"/>
          <w:sz w:val="21"/>
        </w:rPr>
        <w:t>Showing</w:t>
      </w:r>
    </w:p>
    <w:p>
      <w:pPr>
        <w:spacing w:after="80"/>
        <w:ind w:left="0"/>
      </w:pPr>
      <w:r>
        <w:rPr>
          <w:color w:val="334155"/>
          <w:sz w:val="20"/>
        </w:rPr>
        <w:t>A scheduled appointment to view a property with a real estate professional.</w:t>
      </w:r>
    </w:p>
    <w:p>
      <w:pPr>
        <w:spacing w:before="120" w:after="20"/>
      </w:pPr>
      <w:r>
        <w:rPr>
          <w:b/>
          <w:color w:val="0A2240"/>
          <w:sz w:val="21"/>
        </w:rPr>
        <w:t>Sponsoring Broker</w:t>
      </w:r>
    </w:p>
    <w:p>
      <w:pPr>
        <w:spacing w:after="80"/>
        <w:ind w:left="0"/>
      </w:pPr>
      <w:r>
        <w:rPr>
          <w:color w:val="334155"/>
          <w:sz w:val="20"/>
        </w:rPr>
        <w:t>The broker under whom a salesperson's license is held.</w:t>
      </w:r>
    </w:p>
    <w:p>
      <w:pPr>
        <w:spacing w:before="120" w:after="20"/>
      </w:pPr>
      <w:r>
        <w:rPr>
          <w:b/>
          <w:color w:val="0A2240"/>
          <w:sz w:val="21"/>
        </w:rPr>
        <w:t>Transaction Broker</w:t>
      </w:r>
    </w:p>
    <w:p>
      <w:pPr>
        <w:spacing w:after="80"/>
        <w:ind w:left="0"/>
      </w:pPr>
      <w:r>
        <w:rPr>
          <w:color w:val="334155"/>
          <w:sz w:val="20"/>
        </w:rPr>
        <w:t>A neutral agent facilitating a deal without representing either party as a fiduciary.</w:t>
      </w:r>
    </w:p>
    <w:p>
      <w:r>
        <w:rPr>
          <w:b/>
          <w:color w:val="B22234"/>
          <w:sz w:val="28"/>
        </w:rPr>
        <w:t>Business Finance</w:t>
      </w:r>
    </w:p>
    <w:p>
      <w:pPr>
        <w:spacing w:before="120" w:after="20"/>
      </w:pPr>
      <w:r>
        <w:rPr>
          <w:b/>
          <w:color w:val="0A2240"/>
          <w:sz w:val="21"/>
        </w:rPr>
        <w:t>Accounts Payable (AP)</w:t>
      </w:r>
    </w:p>
    <w:p>
      <w:pPr>
        <w:spacing w:after="80"/>
        <w:ind w:left="0"/>
      </w:pPr>
      <w:r>
        <w:rPr>
          <w:color w:val="334155"/>
          <w:sz w:val="20"/>
        </w:rPr>
        <w:t>Money a business owes to its suppliers for goods or services received.</w:t>
      </w:r>
    </w:p>
    <w:p>
      <w:pPr>
        <w:spacing w:before="120" w:after="20"/>
      </w:pPr>
      <w:r>
        <w:rPr>
          <w:b/>
          <w:color w:val="0A2240"/>
          <w:sz w:val="21"/>
        </w:rPr>
        <w:t>Accounts Receivable (AR)</w:t>
      </w:r>
    </w:p>
    <w:p>
      <w:pPr>
        <w:spacing w:after="80"/>
        <w:ind w:left="0"/>
      </w:pPr>
      <w:r>
        <w:rPr>
          <w:color w:val="334155"/>
          <w:sz w:val="20"/>
        </w:rPr>
        <w:t>Money owed to a business by its customers for goods or services delivered.</w:t>
      </w:r>
    </w:p>
    <w:p>
      <w:pPr>
        <w:spacing w:before="120" w:after="20"/>
      </w:pPr>
      <w:r>
        <w:rPr>
          <w:b/>
          <w:color w:val="0A2240"/>
          <w:sz w:val="21"/>
        </w:rPr>
        <w:t>Accrual Accounting</w:t>
      </w:r>
    </w:p>
    <w:p>
      <w:pPr>
        <w:spacing w:after="80"/>
        <w:ind w:left="0"/>
      </w:pPr>
      <w:r>
        <w:rPr>
          <w:color w:val="334155"/>
          <w:sz w:val="20"/>
        </w:rPr>
        <w:t>Recording revenue and expenses when earned/incurred, not when cash moves.</w:t>
      </w:r>
    </w:p>
    <w:p>
      <w:pPr>
        <w:spacing w:before="120" w:after="20"/>
      </w:pPr>
      <w:r>
        <w:rPr>
          <w:b/>
          <w:color w:val="0A2240"/>
          <w:sz w:val="21"/>
        </w:rPr>
        <w:t>Amortization Schedule</w:t>
      </w:r>
    </w:p>
    <w:p>
      <w:pPr>
        <w:spacing w:after="80"/>
        <w:ind w:left="0"/>
      </w:pPr>
      <w:r>
        <w:rPr>
          <w:color w:val="334155"/>
          <w:sz w:val="20"/>
        </w:rPr>
        <w:t>A timeline allocating intangible asset costs (or loan repayment) over time.</w:t>
      </w:r>
    </w:p>
    <w:p>
      <w:pPr>
        <w:spacing w:before="120" w:after="20"/>
      </w:pPr>
      <w:r>
        <w:rPr>
          <w:b/>
          <w:color w:val="0A2240"/>
          <w:sz w:val="21"/>
        </w:rPr>
        <w:t>Balance Sheet</w:t>
      </w:r>
    </w:p>
    <w:p>
      <w:pPr>
        <w:spacing w:after="80"/>
        <w:ind w:left="0"/>
      </w:pPr>
      <w:r>
        <w:rPr>
          <w:color w:val="334155"/>
          <w:sz w:val="20"/>
        </w:rPr>
        <w:t>A snapshot of a company's assets, liabilities, and equity at a point in time.</w:t>
      </w:r>
    </w:p>
    <w:p>
      <w:pPr>
        <w:spacing w:before="120" w:after="20"/>
      </w:pPr>
      <w:r>
        <w:rPr>
          <w:b/>
          <w:color w:val="0A2240"/>
          <w:sz w:val="21"/>
        </w:rPr>
        <w:t>Burn Rate</w:t>
      </w:r>
    </w:p>
    <w:p>
      <w:pPr>
        <w:spacing w:after="80"/>
        <w:ind w:left="0"/>
      </w:pPr>
      <w:r>
        <w:rPr>
          <w:color w:val="334155"/>
          <w:sz w:val="20"/>
        </w:rPr>
        <w:t>The rate at which a company spends cash, often used in startups.</w:t>
      </w:r>
    </w:p>
    <w:p>
      <w:pPr>
        <w:spacing w:before="120" w:after="20"/>
      </w:pPr>
      <w:r>
        <w:rPr>
          <w:b/>
          <w:color w:val="0A2240"/>
          <w:sz w:val="21"/>
        </w:rPr>
        <w:t>Business Valuation</w:t>
      </w:r>
    </w:p>
    <w:p>
      <w:pPr>
        <w:spacing w:after="80"/>
        <w:ind w:left="0"/>
      </w:pPr>
      <w:r>
        <w:rPr>
          <w:color w:val="334155"/>
          <w:sz w:val="20"/>
        </w:rPr>
        <w:t>Determining a company's fair market value using income, market, or asset approaches.</w:t>
      </w:r>
    </w:p>
    <w:p>
      <w:pPr>
        <w:spacing w:before="120" w:after="20"/>
      </w:pPr>
      <w:r>
        <w:rPr>
          <w:b/>
          <w:color w:val="0A2240"/>
          <w:sz w:val="21"/>
        </w:rPr>
        <w:t>Cap Table Dilution</w:t>
      </w:r>
    </w:p>
    <w:p>
      <w:pPr>
        <w:spacing w:after="80"/>
        <w:ind w:left="0"/>
      </w:pPr>
      <w:r>
        <w:rPr>
          <w:color w:val="334155"/>
          <w:sz w:val="20"/>
        </w:rPr>
        <w:t>Reduction in existing owners' percentage stake when new equity is issued.</w:t>
      </w:r>
    </w:p>
    <w:p>
      <w:pPr>
        <w:spacing w:before="120" w:after="20"/>
      </w:pPr>
      <w:r>
        <w:rPr>
          <w:b/>
          <w:color w:val="0A2240"/>
          <w:sz w:val="21"/>
        </w:rPr>
        <w:t>Capital Lease</w:t>
      </w:r>
    </w:p>
    <w:p>
      <w:pPr>
        <w:spacing w:after="80"/>
        <w:ind w:left="0"/>
      </w:pPr>
      <w:r>
        <w:rPr>
          <w:color w:val="334155"/>
          <w:sz w:val="20"/>
        </w:rPr>
        <w:t>A lease treated as an asset purchase with associated debt on the balance sheet.</w:t>
      </w:r>
    </w:p>
    <w:p>
      <w:pPr>
        <w:spacing w:before="120" w:after="20"/>
      </w:pPr>
      <w:r>
        <w:rPr>
          <w:b/>
          <w:color w:val="0A2240"/>
          <w:sz w:val="21"/>
        </w:rPr>
        <w:t>Cash Accounting</w:t>
      </w:r>
    </w:p>
    <w:p>
      <w:pPr>
        <w:spacing w:after="80"/>
        <w:ind w:left="0"/>
      </w:pPr>
      <w:r>
        <w:rPr>
          <w:color w:val="334155"/>
          <w:sz w:val="20"/>
        </w:rPr>
        <w:t>Recording revenue and expenses only when cash changes hands.</w:t>
      </w:r>
    </w:p>
    <w:p>
      <w:pPr>
        <w:spacing w:before="120" w:after="20"/>
      </w:pPr>
      <w:r>
        <w:rPr>
          <w:b/>
          <w:color w:val="0A2240"/>
          <w:sz w:val="21"/>
        </w:rPr>
        <w:t>Cash Conversion Cycle</w:t>
      </w:r>
    </w:p>
    <w:p>
      <w:pPr>
        <w:spacing w:after="80"/>
        <w:ind w:left="0"/>
      </w:pPr>
      <w:r>
        <w:rPr>
          <w:color w:val="334155"/>
          <w:sz w:val="20"/>
        </w:rPr>
        <w:t>Days inventory + DSO - DPO; how long cash is tied up in operations.</w:t>
      </w:r>
    </w:p>
    <w:p>
      <w:pPr>
        <w:spacing w:before="120" w:after="20"/>
      </w:pPr>
      <w:r>
        <w:rPr>
          <w:b/>
          <w:color w:val="0A2240"/>
          <w:sz w:val="21"/>
        </w:rPr>
        <w:t>Cash Flow Statement</w:t>
      </w:r>
    </w:p>
    <w:p>
      <w:pPr>
        <w:spacing w:after="80"/>
        <w:ind w:left="0"/>
      </w:pPr>
      <w:r>
        <w:rPr>
          <w:color w:val="334155"/>
          <w:sz w:val="20"/>
        </w:rPr>
        <w:t>A financial report showing cash inflows and outflows from operations, investing, and financing.</w:t>
      </w:r>
    </w:p>
    <w:p>
      <w:pPr>
        <w:spacing w:before="120" w:after="20"/>
      </w:pPr>
      <w:r>
        <w:rPr>
          <w:b/>
          <w:color w:val="0A2240"/>
          <w:sz w:val="21"/>
        </w:rPr>
        <w:t>Convertible Debt</w:t>
      </w:r>
    </w:p>
    <w:p>
      <w:pPr>
        <w:spacing w:after="80"/>
        <w:ind w:left="0"/>
      </w:pPr>
      <w:r>
        <w:rPr>
          <w:color w:val="334155"/>
          <w:sz w:val="20"/>
        </w:rPr>
        <w:t>Loans that can convert into equity under specific conditions.</w:t>
      </w:r>
    </w:p>
    <w:p>
      <w:pPr>
        <w:spacing w:before="120" w:after="20"/>
      </w:pPr>
      <w:r>
        <w:rPr>
          <w:b/>
          <w:color w:val="0A2240"/>
          <w:sz w:val="21"/>
        </w:rPr>
        <w:t>Current Ratio</w:t>
      </w:r>
    </w:p>
    <w:p>
      <w:pPr>
        <w:spacing w:after="80"/>
        <w:ind w:left="0"/>
      </w:pPr>
      <w:r>
        <w:rPr>
          <w:color w:val="334155"/>
          <w:sz w:val="20"/>
        </w:rPr>
        <w:t>Current assets divided by current liabilities — a measure of short-term liquidity.</w:t>
      </w:r>
    </w:p>
    <w:p>
      <w:pPr>
        <w:spacing w:before="120" w:after="20"/>
      </w:pPr>
      <w:r>
        <w:rPr>
          <w:b/>
          <w:color w:val="0A2240"/>
          <w:sz w:val="21"/>
        </w:rPr>
        <w:t>Debt-to-Equity Ratio</w:t>
      </w:r>
    </w:p>
    <w:p>
      <w:pPr>
        <w:spacing w:after="80"/>
        <w:ind w:left="0"/>
      </w:pPr>
      <w:r>
        <w:rPr>
          <w:color w:val="334155"/>
          <w:sz w:val="20"/>
        </w:rPr>
        <w:t>Total debt divided by shareholders' equity, showing leverage.</w:t>
      </w:r>
    </w:p>
    <w:p>
      <w:pPr>
        <w:spacing w:before="120" w:after="20"/>
      </w:pPr>
      <w:r>
        <w:rPr>
          <w:b/>
          <w:color w:val="0A2240"/>
          <w:sz w:val="21"/>
        </w:rPr>
        <w:t>Depreciation Schedule</w:t>
      </w:r>
    </w:p>
    <w:p>
      <w:pPr>
        <w:spacing w:after="80"/>
        <w:ind w:left="0"/>
      </w:pPr>
      <w:r>
        <w:rPr>
          <w:color w:val="334155"/>
          <w:sz w:val="20"/>
        </w:rPr>
        <w:t>A timeline allocating an asset's cost across its useful life for tax purposes.</w:t>
      </w:r>
    </w:p>
    <w:p>
      <w:pPr>
        <w:spacing w:before="120" w:after="20"/>
      </w:pPr>
      <w:r>
        <w:rPr>
          <w:b/>
          <w:color w:val="0A2240"/>
          <w:sz w:val="21"/>
        </w:rPr>
        <w:t>DPO</w:t>
      </w:r>
    </w:p>
    <w:p>
      <w:pPr>
        <w:spacing w:after="80"/>
        <w:ind w:left="0"/>
      </w:pPr>
      <w:r>
        <w:rPr>
          <w:color w:val="334155"/>
          <w:sz w:val="20"/>
        </w:rPr>
        <w:t>Days Payables Outstanding — average days to pay suppliers.</w:t>
      </w:r>
    </w:p>
    <w:p>
      <w:pPr>
        <w:spacing w:before="120" w:after="20"/>
      </w:pPr>
      <w:r>
        <w:rPr>
          <w:b/>
          <w:color w:val="0A2240"/>
          <w:sz w:val="21"/>
        </w:rPr>
        <w:t>DSO</w:t>
      </w:r>
    </w:p>
    <w:p>
      <w:pPr>
        <w:spacing w:after="80"/>
        <w:ind w:left="0"/>
      </w:pPr>
      <w:r>
        <w:rPr>
          <w:color w:val="334155"/>
          <w:sz w:val="20"/>
        </w:rPr>
        <w:t>Days Sales Outstanding — average days to collect receivables.</w:t>
      </w:r>
    </w:p>
    <w:p>
      <w:pPr>
        <w:spacing w:before="120" w:after="20"/>
      </w:pPr>
      <w:r>
        <w:rPr>
          <w:b/>
          <w:color w:val="0A2240"/>
          <w:sz w:val="21"/>
        </w:rPr>
        <w:t>EBITDA</w:t>
      </w:r>
    </w:p>
    <w:p>
      <w:pPr>
        <w:spacing w:after="80"/>
        <w:ind w:left="0"/>
      </w:pPr>
      <w:r>
        <w:rPr>
          <w:color w:val="334155"/>
          <w:sz w:val="20"/>
        </w:rPr>
        <w:t>Earnings Before Interest, Taxes, Depreciation, and Amortization — a profitability measure.</w:t>
      </w:r>
    </w:p>
    <w:p>
      <w:pPr>
        <w:spacing w:before="120" w:after="20"/>
      </w:pPr>
      <w:r>
        <w:rPr>
          <w:b/>
          <w:color w:val="0A2240"/>
          <w:sz w:val="21"/>
        </w:rPr>
        <w:t>Factoring</w:t>
      </w:r>
    </w:p>
    <w:p>
      <w:pPr>
        <w:spacing w:after="80"/>
        <w:ind w:left="0"/>
      </w:pPr>
      <w:r>
        <w:rPr>
          <w:color w:val="334155"/>
          <w:sz w:val="20"/>
        </w:rPr>
        <w:t>Selling accounts receivable to a third party at a discount for immediate cash.</w:t>
      </w:r>
    </w:p>
    <w:p>
      <w:pPr>
        <w:spacing w:before="120" w:after="20"/>
      </w:pPr>
      <w:r>
        <w:rPr>
          <w:b/>
          <w:color w:val="0A2240"/>
          <w:sz w:val="21"/>
        </w:rPr>
        <w:t>Goodwill</w:t>
      </w:r>
    </w:p>
    <w:p>
      <w:pPr>
        <w:spacing w:after="80"/>
        <w:ind w:left="0"/>
      </w:pPr>
      <w:r>
        <w:rPr>
          <w:color w:val="334155"/>
          <w:sz w:val="20"/>
        </w:rPr>
        <w:t>An intangible asset reflecting a business's value beyond identifiable assets.</w:t>
      </w:r>
    </w:p>
    <w:p>
      <w:pPr>
        <w:spacing w:before="120" w:after="20"/>
      </w:pPr>
      <w:r>
        <w:rPr>
          <w:b/>
          <w:color w:val="0A2240"/>
          <w:sz w:val="21"/>
        </w:rPr>
        <w:t>Gross Profit Margin</w:t>
      </w:r>
    </w:p>
    <w:p>
      <w:pPr>
        <w:spacing w:after="80"/>
        <w:ind w:left="0"/>
      </w:pPr>
      <w:r>
        <w:rPr>
          <w:color w:val="334155"/>
          <w:sz w:val="20"/>
        </w:rPr>
        <w:t>Gross profit as a percentage of revenue — a basic profitability measure.</w:t>
      </w:r>
    </w:p>
    <w:p>
      <w:pPr>
        <w:spacing w:before="120" w:after="20"/>
      </w:pPr>
      <w:r>
        <w:rPr>
          <w:b/>
          <w:color w:val="0A2240"/>
          <w:sz w:val="21"/>
        </w:rPr>
        <w:t>Income Statement</w:t>
      </w:r>
    </w:p>
    <w:p>
      <w:pPr>
        <w:spacing w:after="80"/>
        <w:ind w:left="0"/>
      </w:pPr>
      <w:r>
        <w:rPr>
          <w:color w:val="334155"/>
          <w:sz w:val="20"/>
        </w:rPr>
        <w:t>A financial report showing revenues, expenses, and profit over a period.</w:t>
      </w:r>
    </w:p>
    <w:p>
      <w:pPr>
        <w:spacing w:before="120" w:after="20"/>
      </w:pPr>
      <w:r>
        <w:rPr>
          <w:b/>
          <w:color w:val="0A2240"/>
          <w:sz w:val="21"/>
        </w:rPr>
        <w:t>Inventory Turnover</w:t>
      </w:r>
    </w:p>
    <w:p>
      <w:pPr>
        <w:spacing w:after="80"/>
        <w:ind w:left="0"/>
      </w:pPr>
      <w:r>
        <w:rPr>
          <w:color w:val="334155"/>
          <w:sz w:val="20"/>
        </w:rPr>
        <w:t>Cost of goods sold divided by average inventory — measures how fast inventory sells.</w:t>
      </w:r>
    </w:p>
    <w:p>
      <w:pPr>
        <w:spacing w:before="120" w:after="20"/>
      </w:pPr>
      <w:r>
        <w:rPr>
          <w:b/>
          <w:color w:val="0A2240"/>
          <w:sz w:val="21"/>
        </w:rPr>
        <w:t>Net Profit Margin</w:t>
      </w:r>
    </w:p>
    <w:p>
      <w:pPr>
        <w:spacing w:after="80"/>
        <w:ind w:left="0"/>
      </w:pPr>
      <w:r>
        <w:rPr>
          <w:color w:val="334155"/>
          <w:sz w:val="20"/>
        </w:rPr>
        <w:t>Net income as a percentage of revenue.</w:t>
      </w:r>
    </w:p>
    <w:p>
      <w:pPr>
        <w:spacing w:before="120" w:after="20"/>
      </w:pPr>
      <w:r>
        <w:rPr>
          <w:b/>
          <w:color w:val="0A2240"/>
          <w:sz w:val="21"/>
        </w:rPr>
        <w:t>Operating Lease</w:t>
      </w:r>
    </w:p>
    <w:p>
      <w:pPr>
        <w:spacing w:after="80"/>
        <w:ind w:left="0"/>
      </w:pPr>
      <w:r>
        <w:rPr>
          <w:color w:val="334155"/>
          <w:sz w:val="20"/>
        </w:rPr>
        <w:t>A lease treated as a rental expense, off-balance-sheet under old standards.</w:t>
      </w:r>
    </w:p>
    <w:p>
      <w:pPr>
        <w:spacing w:before="120" w:after="20"/>
      </w:pPr>
      <w:r>
        <w:rPr>
          <w:b/>
          <w:color w:val="0A2240"/>
          <w:sz w:val="21"/>
        </w:rPr>
        <w:t>Operating Margin</w:t>
      </w:r>
    </w:p>
    <w:p>
      <w:pPr>
        <w:spacing w:after="80"/>
        <w:ind w:left="0"/>
      </w:pPr>
      <w:r>
        <w:rPr>
          <w:color w:val="334155"/>
          <w:sz w:val="20"/>
        </w:rPr>
        <w:t>Operating income divided by revenue, showing core business profitability.</w:t>
      </w:r>
    </w:p>
    <w:p>
      <w:pPr>
        <w:spacing w:before="120" w:after="20"/>
      </w:pPr>
      <w:r>
        <w:rPr>
          <w:b/>
          <w:color w:val="0A2240"/>
          <w:sz w:val="21"/>
        </w:rPr>
        <w:t>Post-Money Valuation</w:t>
      </w:r>
    </w:p>
    <w:p>
      <w:pPr>
        <w:spacing w:after="80"/>
        <w:ind w:left="0"/>
      </w:pPr>
      <w:r>
        <w:rPr>
          <w:color w:val="334155"/>
          <w:sz w:val="20"/>
        </w:rPr>
        <w:t>A company's value immediately after a new investment round closes.</w:t>
      </w:r>
    </w:p>
    <w:p>
      <w:pPr>
        <w:spacing w:before="120" w:after="20"/>
      </w:pPr>
      <w:r>
        <w:rPr>
          <w:b/>
          <w:color w:val="0A2240"/>
          <w:sz w:val="21"/>
        </w:rPr>
        <w:t>Pre-Money Valuation</w:t>
      </w:r>
    </w:p>
    <w:p>
      <w:pPr>
        <w:spacing w:after="80"/>
        <w:ind w:left="0"/>
      </w:pPr>
      <w:r>
        <w:rPr>
          <w:color w:val="334155"/>
          <w:sz w:val="20"/>
        </w:rPr>
        <w:t>A company's value before a new investment round closes.</w:t>
      </w:r>
    </w:p>
    <w:p>
      <w:pPr>
        <w:spacing w:before="120" w:after="20"/>
      </w:pPr>
      <w:r>
        <w:rPr>
          <w:b/>
          <w:color w:val="0A2240"/>
          <w:sz w:val="21"/>
        </w:rPr>
        <w:t>Quick Ratio</w:t>
      </w:r>
    </w:p>
    <w:p>
      <w:pPr>
        <w:spacing w:after="80"/>
        <w:ind w:left="0"/>
      </w:pPr>
      <w:r>
        <w:rPr>
          <w:color w:val="334155"/>
          <w:sz w:val="20"/>
        </w:rPr>
        <w:t>Liquid assets (excluding inventory) divided by current liabilities.</w:t>
      </w:r>
    </w:p>
    <w:p>
      <w:pPr>
        <w:spacing w:before="120" w:after="20"/>
      </w:pPr>
      <w:r>
        <w:rPr>
          <w:b/>
          <w:color w:val="0A2240"/>
          <w:sz w:val="21"/>
        </w:rPr>
        <w:t>Revenue Recognition</w:t>
      </w:r>
    </w:p>
    <w:p>
      <w:pPr>
        <w:spacing w:after="80"/>
        <w:ind w:left="0"/>
      </w:pPr>
      <w:r>
        <w:rPr>
          <w:color w:val="334155"/>
          <w:sz w:val="20"/>
        </w:rPr>
        <w:t>Accounting principles for when and how revenue is recorded.</w:t>
      </w:r>
    </w:p>
    <w:p>
      <w:pPr>
        <w:spacing w:before="120" w:after="20"/>
      </w:pPr>
      <w:r>
        <w:rPr>
          <w:b/>
          <w:color w:val="0A2240"/>
          <w:sz w:val="21"/>
        </w:rPr>
        <w:t>Runway</w:t>
      </w:r>
    </w:p>
    <w:p>
      <w:pPr>
        <w:spacing w:after="80"/>
        <w:ind w:left="0"/>
      </w:pPr>
      <w:r>
        <w:rPr>
          <w:color w:val="334155"/>
          <w:sz w:val="20"/>
        </w:rPr>
        <w:t>The number of months a business can operate at its current burn rate before running out of cash.</w:t>
      </w:r>
    </w:p>
    <w:p>
      <w:pPr>
        <w:spacing w:before="120" w:after="20"/>
      </w:pPr>
      <w:r>
        <w:rPr>
          <w:b/>
          <w:color w:val="0A2240"/>
          <w:sz w:val="21"/>
        </w:rPr>
        <w:t>Working Capital</w:t>
      </w:r>
    </w:p>
    <w:p>
      <w:pPr>
        <w:spacing w:after="80"/>
        <w:ind w:left="0"/>
      </w:pPr>
      <w:r>
        <w:rPr>
          <w:color w:val="334155"/>
          <w:sz w:val="20"/>
        </w:rPr>
        <w:t>Current assets minus current liabilities — a measure of short-term liquidity.</w:t>
      </w:r>
    </w:p>
    <w:p>
      <w:pPr>
        <w:spacing w:before="120" w:after="20"/>
      </w:pPr>
      <w:r>
        <w:rPr>
          <w:b/>
          <w:color w:val="0A2240"/>
          <w:sz w:val="21"/>
        </w:rPr>
        <w:t>Working Capital Loan</w:t>
      </w:r>
    </w:p>
    <w:p>
      <w:pPr>
        <w:spacing w:after="80"/>
        <w:ind w:left="0"/>
      </w:pPr>
      <w:r>
        <w:rPr>
          <w:color w:val="334155"/>
          <w:sz w:val="20"/>
        </w:rPr>
        <w:t>Short-term financing for everyday operating expenses.</w:t>
      </w:r>
    </w:p>
    <w:p>
      <w:r>
        <w:rPr>
          <w:b/>
          <w:color w:val="B22234"/>
          <w:sz w:val="28"/>
        </w:rPr>
        <w:t>Business Lines of Credit</w:t>
      </w:r>
    </w:p>
    <w:p>
      <w:pPr>
        <w:spacing w:before="120" w:after="20"/>
      </w:pPr>
      <w:r>
        <w:rPr>
          <w:b/>
          <w:color w:val="0A2240"/>
          <w:sz w:val="21"/>
        </w:rPr>
        <w:t>Advance Rate</w:t>
      </w:r>
    </w:p>
    <w:p>
      <w:pPr>
        <w:spacing w:after="80"/>
        <w:ind w:left="0"/>
      </w:pPr>
      <w:r>
        <w:rPr>
          <w:color w:val="334155"/>
          <w:sz w:val="20"/>
        </w:rPr>
        <w:t>The percentage of eligible collateral a lender will advance against, e.g., 80% on AR.</w:t>
      </w:r>
    </w:p>
    <w:p>
      <w:pPr>
        <w:spacing w:before="120" w:after="20"/>
      </w:pPr>
      <w:r>
        <w:rPr>
          <w:b/>
          <w:color w:val="0A2240"/>
          <w:sz w:val="21"/>
        </w:rPr>
        <w:t>Annual Renewal</w:t>
      </w:r>
    </w:p>
    <w:p>
      <w:pPr>
        <w:spacing w:after="80"/>
        <w:ind w:left="0"/>
      </w:pPr>
      <w:r>
        <w:rPr>
          <w:color w:val="334155"/>
          <w:sz w:val="20"/>
        </w:rPr>
        <w:t>The yearly review of a line of credit, with possible terms changes.</w:t>
      </w:r>
    </w:p>
    <w:p>
      <w:pPr>
        <w:spacing w:before="120" w:after="20"/>
      </w:pPr>
      <w:r>
        <w:rPr>
          <w:b/>
          <w:color w:val="0A2240"/>
          <w:sz w:val="21"/>
        </w:rPr>
        <w:t>Asset-Based LOC</w:t>
      </w:r>
    </w:p>
    <w:p>
      <w:pPr>
        <w:spacing w:after="80"/>
        <w:ind w:left="0"/>
      </w:pPr>
      <w:r>
        <w:rPr>
          <w:color w:val="334155"/>
          <w:sz w:val="20"/>
        </w:rPr>
        <w:t>A line of credit secured by accounts receivable and inventory, common for growing businesses.</w:t>
      </w:r>
    </w:p>
    <w:p>
      <w:pPr>
        <w:spacing w:before="120" w:after="20"/>
      </w:pPr>
      <w:r>
        <w:rPr>
          <w:b/>
          <w:color w:val="0A2240"/>
          <w:sz w:val="21"/>
        </w:rPr>
        <w:t>Borrowing Base</w:t>
      </w:r>
    </w:p>
    <w:p>
      <w:pPr>
        <w:spacing w:after="80"/>
        <w:ind w:left="0"/>
      </w:pPr>
      <w:r>
        <w:rPr>
          <w:color w:val="334155"/>
          <w:sz w:val="20"/>
        </w:rPr>
        <w:t>Eligible collateral value (receivables + inventory) determining LOC availability.</w:t>
      </w:r>
    </w:p>
    <w:p>
      <w:pPr>
        <w:spacing w:before="120" w:after="20"/>
      </w:pPr>
      <w:r>
        <w:rPr>
          <w:b/>
          <w:color w:val="0A2240"/>
          <w:sz w:val="21"/>
        </w:rPr>
        <w:t>Cleanup Requirement</w:t>
      </w:r>
    </w:p>
    <w:p>
      <w:pPr>
        <w:spacing w:after="80"/>
        <w:ind w:left="0"/>
      </w:pPr>
      <w:r>
        <w:rPr>
          <w:color w:val="334155"/>
          <w:sz w:val="20"/>
        </w:rPr>
        <w:t>A LOC provision requiring the balance to reach zero for a period each year.</w:t>
      </w:r>
    </w:p>
    <w:p>
      <w:pPr>
        <w:spacing w:before="120" w:after="20"/>
      </w:pPr>
      <w:r>
        <w:rPr>
          <w:b/>
          <w:color w:val="0A2240"/>
          <w:sz w:val="21"/>
        </w:rPr>
        <w:t>Covenant Compliance</w:t>
      </w:r>
    </w:p>
    <w:p>
      <w:pPr>
        <w:spacing w:after="80"/>
        <w:ind w:left="0"/>
      </w:pPr>
      <w:r>
        <w:rPr>
          <w:color w:val="334155"/>
          <w:sz w:val="20"/>
        </w:rPr>
        <w:t>Adherence to financial ratios and reporting required by a credit agreement.</w:t>
      </w:r>
    </w:p>
    <w:p>
      <w:pPr>
        <w:spacing w:before="120" w:after="20"/>
      </w:pPr>
      <w:r>
        <w:rPr>
          <w:b/>
          <w:color w:val="0A2240"/>
          <w:sz w:val="21"/>
        </w:rPr>
        <w:t>Credit Limit</w:t>
      </w:r>
    </w:p>
    <w:p>
      <w:pPr>
        <w:spacing w:after="80"/>
        <w:ind w:left="0"/>
      </w:pPr>
      <w:r>
        <w:rPr>
          <w:color w:val="334155"/>
          <w:sz w:val="20"/>
        </w:rPr>
        <w:t>The maximum amount available to borrow under a line of credit.</w:t>
      </w:r>
    </w:p>
    <w:p>
      <w:pPr>
        <w:spacing w:before="120" w:after="20"/>
      </w:pPr>
      <w:r>
        <w:rPr>
          <w:b/>
          <w:color w:val="0A2240"/>
          <w:sz w:val="21"/>
        </w:rPr>
        <w:t>Credit Utilization</w:t>
      </w:r>
    </w:p>
    <w:p>
      <w:pPr>
        <w:spacing w:after="80"/>
        <w:ind w:left="0"/>
      </w:pPr>
      <w:r>
        <w:rPr>
          <w:color w:val="334155"/>
          <w:sz w:val="20"/>
        </w:rPr>
        <w:t>The percentage of available credit currently in use.</w:t>
      </w:r>
    </w:p>
    <w:p>
      <w:pPr>
        <w:spacing w:before="120" w:after="20"/>
      </w:pPr>
      <w:r>
        <w:rPr>
          <w:b/>
          <w:color w:val="0A2240"/>
          <w:sz w:val="21"/>
        </w:rPr>
        <w:t>Demand Line of Credit</w:t>
      </w:r>
    </w:p>
    <w:p>
      <w:pPr>
        <w:spacing w:after="80"/>
        <w:ind w:left="0"/>
      </w:pPr>
      <w:r>
        <w:rPr>
          <w:color w:val="334155"/>
          <w:sz w:val="20"/>
        </w:rPr>
        <w:t>A line of credit that can be called for repayment at any time.</w:t>
      </w:r>
    </w:p>
    <w:p>
      <w:pPr>
        <w:spacing w:before="120" w:after="20"/>
      </w:pPr>
      <w:r>
        <w:rPr>
          <w:b/>
          <w:color w:val="0A2240"/>
          <w:sz w:val="21"/>
        </w:rPr>
        <w:t>Draw Period</w:t>
      </w:r>
    </w:p>
    <w:p>
      <w:pPr>
        <w:spacing w:after="80"/>
        <w:ind w:left="0"/>
      </w:pPr>
      <w:r>
        <w:rPr>
          <w:color w:val="334155"/>
          <w:sz w:val="20"/>
        </w:rPr>
        <w:t>The window during which a borrower can pull funds from a line of credit.</w:t>
      </w:r>
    </w:p>
    <w:p>
      <w:pPr>
        <w:spacing w:before="120" w:after="20"/>
      </w:pPr>
      <w:r>
        <w:rPr>
          <w:b/>
          <w:color w:val="0A2240"/>
          <w:sz w:val="21"/>
        </w:rPr>
        <w:t>Line of Credit (LOC)</w:t>
      </w:r>
    </w:p>
    <w:p>
      <w:pPr>
        <w:spacing w:after="80"/>
        <w:ind w:left="0"/>
      </w:pPr>
      <w:r>
        <w:rPr>
          <w:color w:val="334155"/>
          <w:sz w:val="20"/>
        </w:rPr>
        <w:t>A revolving loan with a set limit, drawable and repayable as needed.</w:t>
      </w:r>
    </w:p>
    <w:p>
      <w:pPr>
        <w:spacing w:before="120" w:after="20"/>
      </w:pPr>
      <w:r>
        <w:rPr>
          <w:b/>
          <w:color w:val="0A2240"/>
          <w:sz w:val="21"/>
        </w:rPr>
        <w:t>Personal Guarantor</w:t>
      </w:r>
    </w:p>
    <w:p>
      <w:pPr>
        <w:spacing w:after="80"/>
        <w:ind w:left="0"/>
      </w:pPr>
      <w:r>
        <w:rPr>
          <w:color w:val="334155"/>
          <w:sz w:val="20"/>
        </w:rPr>
        <w:t>An individual pledging personal assets to secure a business line of credit.</w:t>
      </w:r>
    </w:p>
    <w:p>
      <w:pPr>
        <w:spacing w:before="120" w:after="20"/>
      </w:pPr>
      <w:r>
        <w:rPr>
          <w:b/>
          <w:color w:val="0A2240"/>
          <w:sz w:val="21"/>
        </w:rPr>
        <w:t>Repayment Period</w:t>
      </w:r>
    </w:p>
    <w:p>
      <w:pPr>
        <w:spacing w:after="80"/>
        <w:ind w:left="0"/>
      </w:pPr>
      <w:r>
        <w:rPr>
          <w:color w:val="334155"/>
          <w:sz w:val="20"/>
        </w:rPr>
        <w:t>The phase after the draw period when the borrower must pay down the outstanding balance.</w:t>
      </w:r>
    </w:p>
    <w:p>
      <w:pPr>
        <w:spacing w:before="120" w:after="20"/>
      </w:pPr>
      <w:r>
        <w:rPr>
          <w:b/>
          <w:color w:val="0A2240"/>
          <w:sz w:val="21"/>
        </w:rPr>
        <w:t>Revolving Credit</w:t>
      </w:r>
    </w:p>
    <w:p>
      <w:pPr>
        <w:spacing w:after="80"/>
        <w:ind w:left="0"/>
      </w:pPr>
      <w:r>
        <w:rPr>
          <w:color w:val="334155"/>
          <w:sz w:val="20"/>
        </w:rPr>
        <w:t>Credit that can be reused as it's repaid, like a credit card or LOC.</w:t>
      </w:r>
    </w:p>
    <w:p>
      <w:pPr>
        <w:spacing w:before="120" w:after="20"/>
      </w:pPr>
      <w:r>
        <w:rPr>
          <w:b/>
          <w:color w:val="0A2240"/>
          <w:sz w:val="21"/>
        </w:rPr>
        <w:t>Secured Line of Credit</w:t>
      </w:r>
    </w:p>
    <w:p>
      <w:pPr>
        <w:spacing w:after="80"/>
        <w:ind w:left="0"/>
      </w:pPr>
      <w:r>
        <w:rPr>
          <w:color w:val="334155"/>
          <w:sz w:val="20"/>
        </w:rPr>
        <w:t>A line of credit backed by collateral such as real estate or inventory.</w:t>
      </w:r>
    </w:p>
    <w:p>
      <w:pPr>
        <w:spacing w:before="120" w:after="20"/>
      </w:pPr>
      <w:r>
        <w:rPr>
          <w:b/>
          <w:color w:val="0A2240"/>
          <w:sz w:val="21"/>
        </w:rPr>
        <w:t>Stand-By LOC</w:t>
      </w:r>
    </w:p>
    <w:p>
      <w:pPr>
        <w:spacing w:after="80"/>
        <w:ind w:left="0"/>
      </w:pPr>
      <w:r>
        <w:rPr>
          <w:color w:val="334155"/>
          <w:sz w:val="20"/>
        </w:rPr>
        <w:t>A line of credit that guarantees payment to a beneficiary if the principal defaults.</w:t>
      </w:r>
    </w:p>
    <w:p>
      <w:pPr>
        <w:spacing w:before="120" w:after="20"/>
      </w:pPr>
      <w:r>
        <w:rPr>
          <w:b/>
          <w:color w:val="0A2240"/>
          <w:sz w:val="21"/>
        </w:rPr>
        <w:t>Unsecured Line of Credit</w:t>
      </w:r>
    </w:p>
    <w:p>
      <w:pPr>
        <w:spacing w:after="80"/>
        <w:ind w:left="0"/>
      </w:pPr>
      <w:r>
        <w:rPr>
          <w:color w:val="334155"/>
          <w:sz w:val="20"/>
        </w:rPr>
        <w:t>A line of credit not backed by collateral, typically requiring strong credit.</w:t>
      </w:r>
    </w:p>
    <w:p>
      <w:r>
        <w:rPr>
          <w:b/>
          <w:color w:val="B22234"/>
          <w:sz w:val="28"/>
        </w:rPr>
        <w:t>Capital Structure &amp; Equity</w:t>
      </w:r>
    </w:p>
    <w:p>
      <w:pPr>
        <w:spacing w:before="120" w:after="20"/>
      </w:pPr>
      <w:r>
        <w:rPr>
          <w:b/>
          <w:color w:val="0A2240"/>
          <w:sz w:val="21"/>
        </w:rPr>
        <w:t>Accredited Investor</w:t>
      </w:r>
    </w:p>
    <w:p>
      <w:pPr>
        <w:spacing w:after="80"/>
        <w:ind w:left="0"/>
      </w:pPr>
      <w:r>
        <w:rPr>
          <w:color w:val="334155"/>
          <w:sz w:val="20"/>
        </w:rPr>
        <w:t>An investor meeting SEC income or net-worth thresholds, allowed to participate in private offerings.</w:t>
      </w:r>
    </w:p>
    <w:p>
      <w:pPr>
        <w:spacing w:before="120" w:after="20"/>
      </w:pPr>
      <w:r>
        <w:rPr>
          <w:b/>
          <w:color w:val="0A2240"/>
          <w:sz w:val="21"/>
        </w:rPr>
        <w:t>Capital Call</w:t>
      </w:r>
    </w:p>
    <w:p>
      <w:pPr>
        <w:spacing w:after="80"/>
        <w:ind w:left="0"/>
      </w:pPr>
      <w:r>
        <w:rPr>
          <w:color w:val="334155"/>
          <w:sz w:val="20"/>
        </w:rPr>
        <w:t>A formal request to investors to fund a previously committed amount.</w:t>
      </w:r>
    </w:p>
    <w:p>
      <w:pPr>
        <w:spacing w:before="120" w:after="20"/>
      </w:pPr>
      <w:r>
        <w:rPr>
          <w:b/>
          <w:color w:val="0A2240"/>
          <w:sz w:val="21"/>
        </w:rPr>
        <w:t>Capital Stack</w:t>
      </w:r>
    </w:p>
    <w:p>
      <w:pPr>
        <w:spacing w:after="80"/>
        <w:ind w:left="0"/>
      </w:pPr>
      <w:r>
        <w:rPr>
          <w:color w:val="334155"/>
          <w:sz w:val="20"/>
        </w:rPr>
        <w:t>The layered structure of debt and equity used to finance a real estate deal.</w:t>
      </w:r>
    </w:p>
    <w:p>
      <w:pPr>
        <w:spacing w:before="120" w:after="20"/>
      </w:pPr>
      <w:r>
        <w:rPr>
          <w:b/>
          <w:color w:val="0A2240"/>
          <w:sz w:val="21"/>
        </w:rPr>
        <w:t>Carried Interest</w:t>
      </w:r>
    </w:p>
    <w:p>
      <w:pPr>
        <w:spacing w:after="80"/>
        <w:ind w:left="0"/>
      </w:pPr>
      <w:r>
        <w:rPr>
          <w:color w:val="334155"/>
          <w:sz w:val="20"/>
        </w:rPr>
        <w:t>The share of profits paid to a fund manager, typically taxed at favorable capital-gains rates.</w:t>
      </w:r>
    </w:p>
    <w:p>
      <w:pPr>
        <w:spacing w:before="120" w:after="20"/>
      </w:pPr>
      <w:r>
        <w:rPr>
          <w:b/>
          <w:color w:val="0A2240"/>
          <w:sz w:val="21"/>
        </w:rPr>
        <w:t>Catch-Up</w:t>
      </w:r>
    </w:p>
    <w:p>
      <w:pPr>
        <w:spacing w:after="80"/>
        <w:ind w:left="0"/>
      </w:pPr>
      <w:r>
        <w:rPr>
          <w:color w:val="334155"/>
          <w:sz w:val="20"/>
        </w:rPr>
        <w:t>A waterfall provision that allows the sponsor to receive a higher share until parity with the LPs.</w:t>
      </w:r>
    </w:p>
    <w:p>
      <w:pPr>
        <w:spacing w:before="120" w:after="20"/>
      </w:pPr>
      <w:r>
        <w:rPr>
          <w:b/>
          <w:color w:val="0A2240"/>
          <w:sz w:val="21"/>
        </w:rPr>
        <w:t>Clawback</w:t>
      </w:r>
    </w:p>
    <w:p>
      <w:pPr>
        <w:spacing w:after="80"/>
        <w:ind w:left="0"/>
      </w:pPr>
      <w:r>
        <w:rPr>
          <w:color w:val="334155"/>
          <w:sz w:val="20"/>
        </w:rPr>
        <w:t>A provision requiring the sponsor to return prior profits if final returns fall below targets.</w:t>
      </w:r>
    </w:p>
    <w:p>
      <w:pPr>
        <w:spacing w:before="120" w:after="20"/>
      </w:pPr>
      <w:r>
        <w:rPr>
          <w:b/>
          <w:color w:val="0A2240"/>
          <w:sz w:val="21"/>
        </w:rPr>
        <w:t>Closed-End Fund</w:t>
      </w:r>
    </w:p>
    <w:p>
      <w:pPr>
        <w:spacing w:after="80"/>
        <w:ind w:left="0"/>
      </w:pPr>
      <w:r>
        <w:rPr>
          <w:color w:val="334155"/>
          <w:sz w:val="20"/>
        </w:rPr>
        <w:t>A fund with a fixed pool of capital raised once and returned to investors over time.</w:t>
      </w:r>
    </w:p>
    <w:p>
      <w:pPr>
        <w:spacing w:before="120" w:after="20"/>
      </w:pPr>
      <w:r>
        <w:rPr>
          <w:b/>
          <w:color w:val="0A2240"/>
          <w:sz w:val="21"/>
        </w:rPr>
        <w:t>Common Equity</w:t>
      </w:r>
    </w:p>
    <w:p>
      <w:pPr>
        <w:spacing w:after="80"/>
        <w:ind w:left="0"/>
      </w:pPr>
      <w:r>
        <w:rPr>
          <w:color w:val="334155"/>
          <w:sz w:val="20"/>
        </w:rPr>
        <w:t>Ownership stake last in line for distributions but with unlimited upside.</w:t>
      </w:r>
    </w:p>
    <w:p>
      <w:pPr>
        <w:spacing w:before="120" w:after="20"/>
      </w:pPr>
      <w:r>
        <w:rPr>
          <w:b/>
          <w:color w:val="0A2240"/>
          <w:sz w:val="21"/>
        </w:rPr>
        <w:t>Distributions in Kind</w:t>
      </w:r>
    </w:p>
    <w:p>
      <w:pPr>
        <w:spacing w:after="80"/>
        <w:ind w:left="0"/>
      </w:pPr>
      <w:r>
        <w:rPr>
          <w:color w:val="334155"/>
          <w:sz w:val="20"/>
        </w:rPr>
        <w:t>Paying investors in assets (often property) instead of cash.</w:t>
      </w:r>
    </w:p>
    <w:p>
      <w:pPr>
        <w:spacing w:before="120" w:after="20"/>
      </w:pPr>
      <w:r>
        <w:rPr>
          <w:b/>
          <w:color w:val="0A2240"/>
          <w:sz w:val="21"/>
        </w:rPr>
        <w:t>DPI</w:t>
      </w:r>
    </w:p>
    <w:p>
      <w:pPr>
        <w:spacing w:after="80"/>
        <w:ind w:left="0"/>
      </w:pPr>
      <w:r>
        <w:rPr>
          <w:color w:val="334155"/>
          <w:sz w:val="20"/>
        </w:rPr>
        <w:t>Distributions to Paid-In capital — total cash returned to investors divided by total invested.</w:t>
      </w:r>
    </w:p>
    <w:p>
      <w:pPr>
        <w:spacing w:before="120" w:after="20"/>
      </w:pPr>
      <w:r>
        <w:rPr>
          <w:b/>
          <w:color w:val="0A2240"/>
          <w:sz w:val="21"/>
        </w:rPr>
        <w:t>Drag-Along Right</w:t>
      </w:r>
    </w:p>
    <w:p>
      <w:pPr>
        <w:spacing w:after="80"/>
        <w:ind w:left="0"/>
      </w:pPr>
      <w:r>
        <w:rPr>
          <w:color w:val="334155"/>
          <w:sz w:val="20"/>
        </w:rPr>
        <w:t>A provision letting majority investors force minority owners to join in a sale.</w:t>
      </w:r>
    </w:p>
    <w:p>
      <w:pPr>
        <w:spacing w:before="120" w:after="20"/>
      </w:pPr>
      <w:r>
        <w:rPr>
          <w:b/>
          <w:color w:val="0A2240"/>
          <w:sz w:val="21"/>
        </w:rPr>
        <w:t>Equity Bridge</w:t>
      </w:r>
    </w:p>
    <w:p>
      <w:pPr>
        <w:spacing w:after="80"/>
        <w:ind w:left="0"/>
      </w:pPr>
      <w:r>
        <w:rPr>
          <w:color w:val="334155"/>
          <w:sz w:val="20"/>
        </w:rPr>
        <w:t>Short-term financing used by sponsors before calling LP capital.</w:t>
      </w:r>
    </w:p>
    <w:p>
      <w:pPr>
        <w:spacing w:before="120" w:after="20"/>
      </w:pPr>
      <w:r>
        <w:rPr>
          <w:b/>
          <w:color w:val="0A2240"/>
          <w:sz w:val="21"/>
        </w:rPr>
        <w:t>Equity Multiple</w:t>
      </w:r>
    </w:p>
    <w:p>
      <w:pPr>
        <w:spacing w:after="80"/>
        <w:ind w:left="0"/>
      </w:pPr>
      <w:r>
        <w:rPr>
          <w:color w:val="334155"/>
          <w:sz w:val="20"/>
        </w:rPr>
        <w:t>Total cash distributions divided by total equity invested over the life of an investment.</w:t>
      </w:r>
    </w:p>
    <w:p>
      <w:pPr>
        <w:spacing w:before="120" w:after="20"/>
      </w:pPr>
      <w:r>
        <w:rPr>
          <w:b/>
          <w:color w:val="0A2240"/>
          <w:sz w:val="21"/>
        </w:rPr>
        <w:t>Fund of Funds (FoF)</w:t>
      </w:r>
    </w:p>
    <w:p>
      <w:pPr>
        <w:spacing w:after="80"/>
        <w:ind w:left="0"/>
      </w:pPr>
      <w:r>
        <w:rPr>
          <w:color w:val="334155"/>
          <w:sz w:val="20"/>
        </w:rPr>
        <w:t>An investment vehicle that invests in multiple real estate funds for diversification.</w:t>
      </w:r>
    </w:p>
    <w:p>
      <w:pPr>
        <w:spacing w:before="120" w:after="20"/>
      </w:pPr>
      <w:r>
        <w:rPr>
          <w:b/>
          <w:color w:val="0A2240"/>
          <w:sz w:val="21"/>
        </w:rPr>
        <w:t>General Partner (GP)</w:t>
      </w:r>
    </w:p>
    <w:p>
      <w:pPr>
        <w:spacing w:after="80"/>
        <w:ind w:left="0"/>
      </w:pPr>
      <w:r>
        <w:rPr>
          <w:color w:val="334155"/>
          <w:sz w:val="20"/>
        </w:rPr>
        <w:t>The active managing partner in a partnership with full liability and operational control.</w:t>
      </w:r>
    </w:p>
    <w:p>
      <w:pPr>
        <w:spacing w:before="120" w:after="20"/>
      </w:pPr>
      <w:r>
        <w:rPr>
          <w:b/>
          <w:color w:val="0A2240"/>
          <w:sz w:val="21"/>
        </w:rPr>
        <w:t>Hold Period</w:t>
      </w:r>
    </w:p>
    <w:p>
      <w:pPr>
        <w:spacing w:after="80"/>
        <w:ind w:left="0"/>
      </w:pPr>
      <w:r>
        <w:rPr>
          <w:color w:val="334155"/>
          <w:sz w:val="20"/>
        </w:rPr>
        <w:t>The expected length of time investors keep their capital in a deal before exit.</w:t>
      </w:r>
    </w:p>
    <w:p>
      <w:pPr>
        <w:spacing w:before="120" w:after="20"/>
      </w:pPr>
      <w:r>
        <w:rPr>
          <w:b/>
          <w:color w:val="0A2240"/>
          <w:sz w:val="21"/>
        </w:rPr>
        <w:t>Hurdle (Multiple)</w:t>
      </w:r>
    </w:p>
    <w:p>
      <w:pPr>
        <w:spacing w:after="80"/>
        <w:ind w:left="0"/>
      </w:pPr>
      <w:r>
        <w:rPr>
          <w:color w:val="334155"/>
          <w:sz w:val="20"/>
        </w:rPr>
        <w:t>A specified equity multiple a deal must exceed before the sponsor earns the next promote tier.</w:t>
      </w:r>
    </w:p>
    <w:p>
      <w:pPr>
        <w:spacing w:before="120" w:after="20"/>
      </w:pPr>
      <w:r>
        <w:rPr>
          <w:b/>
          <w:color w:val="0A2240"/>
          <w:sz w:val="21"/>
        </w:rPr>
        <w:t>Investor Pro Rata</w:t>
      </w:r>
    </w:p>
    <w:p>
      <w:pPr>
        <w:spacing w:after="80"/>
        <w:ind w:left="0"/>
      </w:pPr>
      <w:r>
        <w:rPr>
          <w:color w:val="334155"/>
          <w:sz w:val="20"/>
        </w:rPr>
        <w:t>Investors investing in proportion to their existing ownership share.</w:t>
      </w:r>
    </w:p>
    <w:p>
      <w:pPr>
        <w:spacing w:before="120" w:after="20"/>
      </w:pPr>
      <w:r>
        <w:rPr>
          <w:b/>
          <w:color w:val="0A2240"/>
          <w:sz w:val="21"/>
        </w:rPr>
        <w:t>J-Curve</w:t>
      </w:r>
    </w:p>
    <w:p>
      <w:pPr>
        <w:spacing w:after="80"/>
        <w:ind w:left="0"/>
      </w:pPr>
      <w:r>
        <w:rPr>
          <w:color w:val="334155"/>
          <w:sz w:val="20"/>
        </w:rPr>
        <w:t>The early dip in fund returns before assets mature and produce gains.</w:t>
      </w:r>
    </w:p>
    <w:p>
      <w:pPr>
        <w:spacing w:before="120" w:after="20"/>
      </w:pPr>
      <w:r>
        <w:rPr>
          <w:b/>
          <w:color w:val="0A2240"/>
          <w:sz w:val="21"/>
        </w:rPr>
        <w:t>Joint Venture (JV)</w:t>
      </w:r>
    </w:p>
    <w:p>
      <w:pPr>
        <w:spacing w:after="80"/>
        <w:ind w:left="0"/>
      </w:pPr>
      <w:r>
        <w:rPr>
          <w:color w:val="334155"/>
          <w:sz w:val="20"/>
        </w:rPr>
        <w:t>A business arrangement where two or more parties pool resources for a specific project.</w:t>
      </w:r>
    </w:p>
    <w:p>
      <w:pPr>
        <w:spacing w:before="120" w:after="20"/>
      </w:pPr>
      <w:r>
        <w:rPr>
          <w:b/>
          <w:color w:val="0A2240"/>
          <w:sz w:val="21"/>
        </w:rPr>
        <w:t>Limited Partner (LP)</w:t>
      </w:r>
    </w:p>
    <w:p>
      <w:pPr>
        <w:spacing w:after="80"/>
        <w:ind w:left="0"/>
      </w:pPr>
      <w:r>
        <w:rPr>
          <w:color w:val="334155"/>
          <w:sz w:val="20"/>
        </w:rPr>
        <w:t>A passive investor in a partnership with liability limited to their investment.</w:t>
      </w:r>
    </w:p>
    <w:p>
      <w:pPr>
        <w:spacing w:before="120" w:after="20"/>
      </w:pPr>
      <w:r>
        <w:rPr>
          <w:b/>
          <w:color w:val="0A2240"/>
          <w:sz w:val="21"/>
        </w:rPr>
        <w:t>Open-End Fund</w:t>
      </w:r>
    </w:p>
    <w:p>
      <w:pPr>
        <w:spacing w:after="80"/>
        <w:ind w:left="0"/>
      </w:pPr>
      <w:r>
        <w:rPr>
          <w:color w:val="334155"/>
          <w:sz w:val="20"/>
        </w:rPr>
        <w:t>A fund that continuously accepts new investors and allows periodic redemptions.</w:t>
      </w:r>
    </w:p>
    <w:p>
      <w:pPr>
        <w:spacing w:before="120" w:after="20"/>
      </w:pPr>
      <w:r>
        <w:rPr>
          <w:b/>
          <w:color w:val="0A2240"/>
          <w:sz w:val="21"/>
        </w:rPr>
        <w:t>Pari Passu</w:t>
      </w:r>
    </w:p>
    <w:p>
      <w:pPr>
        <w:spacing w:after="80"/>
        <w:ind w:left="0"/>
      </w:pPr>
      <w:r>
        <w:rPr>
          <w:color w:val="334155"/>
          <w:sz w:val="20"/>
        </w:rPr>
        <w:t>Latin for &amp;quot;on equal footing&amp;quot; — investors share in distributions proportionately.</w:t>
      </w:r>
    </w:p>
    <w:p>
      <w:pPr>
        <w:spacing w:before="120" w:after="20"/>
      </w:pPr>
      <w:r>
        <w:rPr>
          <w:b/>
          <w:color w:val="0A2240"/>
          <w:sz w:val="21"/>
        </w:rPr>
        <w:t>Preferred Equity</w:t>
      </w:r>
    </w:p>
    <w:p>
      <w:pPr>
        <w:spacing w:after="80"/>
        <w:ind w:left="0"/>
      </w:pPr>
      <w:r>
        <w:rPr>
          <w:color w:val="334155"/>
          <w:sz w:val="20"/>
        </w:rPr>
        <w:t>An equity position with priority returns over common equity but below debt in the capital stack.</w:t>
      </w:r>
    </w:p>
    <w:p>
      <w:pPr>
        <w:spacing w:before="120" w:after="20"/>
      </w:pPr>
      <w:r>
        <w:rPr>
          <w:b/>
          <w:color w:val="0A2240"/>
          <w:sz w:val="21"/>
        </w:rPr>
        <w:t>Preferred Return</w:t>
      </w:r>
    </w:p>
    <w:p>
      <w:pPr>
        <w:spacing w:after="80"/>
        <w:ind w:left="0"/>
      </w:pPr>
      <w:r>
        <w:rPr>
          <w:color w:val="334155"/>
          <w:sz w:val="20"/>
        </w:rPr>
        <w:t>A minimum annual return investors receive before the sponsor shares in profits.</w:t>
      </w:r>
    </w:p>
    <w:p>
      <w:pPr>
        <w:spacing w:before="120" w:after="20"/>
      </w:pPr>
      <w:r>
        <w:rPr>
          <w:b/>
          <w:color w:val="0A2240"/>
          <w:sz w:val="21"/>
        </w:rPr>
        <w:t>Promote</w:t>
      </w:r>
    </w:p>
    <w:p>
      <w:pPr>
        <w:spacing w:after="80"/>
        <w:ind w:left="0"/>
      </w:pPr>
      <w:r>
        <w:rPr>
          <w:color w:val="334155"/>
          <w:sz w:val="20"/>
        </w:rPr>
        <w:t>The disproportionate share of profits paid to the sponsor above a preferred return.</w:t>
      </w:r>
    </w:p>
    <w:p>
      <w:pPr>
        <w:spacing w:before="120" w:after="20"/>
      </w:pPr>
      <w:r>
        <w:rPr>
          <w:b/>
          <w:color w:val="0A2240"/>
          <w:sz w:val="21"/>
        </w:rPr>
        <w:t>Refi Event</w:t>
      </w:r>
    </w:p>
    <w:p>
      <w:pPr>
        <w:spacing w:after="80"/>
        <w:ind w:left="0"/>
      </w:pPr>
      <w:r>
        <w:rPr>
          <w:color w:val="334155"/>
          <w:sz w:val="20"/>
        </w:rPr>
        <w:t>A property refinance returning capital to investors during the hold period.</w:t>
      </w:r>
    </w:p>
    <w:p>
      <w:pPr>
        <w:spacing w:before="120" w:after="20"/>
      </w:pPr>
      <w:r>
        <w:rPr>
          <w:b/>
          <w:color w:val="0A2240"/>
          <w:sz w:val="21"/>
        </w:rPr>
        <w:t>Reg D 506(b)</w:t>
      </w:r>
    </w:p>
    <w:p>
      <w:pPr>
        <w:spacing w:after="80"/>
        <w:ind w:left="0"/>
      </w:pPr>
      <w:r>
        <w:rPr>
          <w:color w:val="334155"/>
          <w:sz w:val="20"/>
        </w:rPr>
        <w:t>An SEC exemption allowing private offerings to accredited and limited non-accredited investors without general solicitation.</w:t>
      </w:r>
    </w:p>
    <w:p>
      <w:pPr>
        <w:spacing w:before="120" w:after="20"/>
      </w:pPr>
      <w:r>
        <w:rPr>
          <w:b/>
          <w:color w:val="0A2240"/>
          <w:sz w:val="21"/>
        </w:rPr>
        <w:t>Reg D 506(c)</w:t>
      </w:r>
    </w:p>
    <w:p>
      <w:pPr>
        <w:spacing w:after="80"/>
        <w:ind w:left="0"/>
      </w:pPr>
      <w:r>
        <w:rPr>
          <w:color w:val="334155"/>
          <w:sz w:val="20"/>
        </w:rPr>
        <w:t>An SEC exemption permitting general solicitation, but limited to accredited investors only.</w:t>
      </w:r>
    </w:p>
    <w:p>
      <w:pPr>
        <w:spacing w:before="120" w:after="20"/>
      </w:pPr>
      <w:r>
        <w:rPr>
          <w:b/>
          <w:color w:val="0A2240"/>
          <w:sz w:val="21"/>
        </w:rPr>
        <w:t>RVPI</w:t>
      </w:r>
    </w:p>
    <w:p>
      <w:pPr>
        <w:spacing w:after="80"/>
        <w:ind w:left="0"/>
      </w:pPr>
      <w:r>
        <w:rPr>
          <w:color w:val="334155"/>
          <w:sz w:val="20"/>
        </w:rPr>
        <w:t>Residual Value to Paid-In — remaining unrealized value over invested capital.</w:t>
      </w:r>
    </w:p>
    <w:p>
      <w:pPr>
        <w:spacing w:before="120" w:after="20"/>
      </w:pPr>
      <w:r>
        <w:rPr>
          <w:b/>
          <w:color w:val="0A2240"/>
          <w:sz w:val="21"/>
        </w:rPr>
        <w:t>Senior Debt</w:t>
      </w:r>
    </w:p>
    <w:p>
      <w:pPr>
        <w:spacing w:after="80"/>
        <w:ind w:left="0"/>
      </w:pPr>
      <w:r>
        <w:rPr>
          <w:color w:val="334155"/>
          <w:sz w:val="20"/>
        </w:rPr>
        <w:t>The first lien on a property — highest priority for repayment in default.</w:t>
      </w:r>
    </w:p>
    <w:p>
      <w:pPr>
        <w:spacing w:before="120" w:after="20"/>
      </w:pPr>
      <w:r>
        <w:rPr>
          <w:b/>
          <w:color w:val="0A2240"/>
          <w:sz w:val="21"/>
        </w:rPr>
        <w:t>Side Letter</w:t>
      </w:r>
    </w:p>
    <w:p>
      <w:pPr>
        <w:spacing w:after="80"/>
        <w:ind w:left="0"/>
      </w:pPr>
      <w:r>
        <w:rPr>
          <w:color w:val="334155"/>
          <w:sz w:val="20"/>
        </w:rPr>
        <w:t>A private agreement between a fund and individual investors granting special terms.</w:t>
      </w:r>
    </w:p>
    <w:p>
      <w:pPr>
        <w:spacing w:before="120" w:after="20"/>
      </w:pPr>
      <w:r>
        <w:rPr>
          <w:b/>
          <w:color w:val="0A2240"/>
          <w:sz w:val="21"/>
        </w:rPr>
        <w:t>Sponsor</w:t>
      </w:r>
    </w:p>
    <w:p>
      <w:pPr>
        <w:spacing w:after="80"/>
        <w:ind w:left="0"/>
      </w:pPr>
      <w:r>
        <w:rPr>
          <w:color w:val="334155"/>
          <w:sz w:val="20"/>
        </w:rPr>
        <w:t>The operating partner who finds, acquires, and manages a real estate investment.</w:t>
      </w:r>
    </w:p>
    <w:p>
      <w:pPr>
        <w:spacing w:before="120" w:after="20"/>
      </w:pPr>
      <w:r>
        <w:rPr>
          <w:b/>
          <w:color w:val="0A2240"/>
          <w:sz w:val="21"/>
        </w:rPr>
        <w:t>Sponsor Co-Invest</w:t>
      </w:r>
    </w:p>
    <w:p>
      <w:pPr>
        <w:spacing w:after="80"/>
        <w:ind w:left="0"/>
      </w:pPr>
      <w:r>
        <w:rPr>
          <w:color w:val="334155"/>
          <w:sz w:val="20"/>
        </w:rPr>
        <w:t>Capital the sponsor invests alongside LPs to align interests.</w:t>
      </w:r>
    </w:p>
    <w:p>
      <w:pPr>
        <w:spacing w:before="120" w:after="20"/>
      </w:pPr>
      <w:r>
        <w:rPr>
          <w:b/>
          <w:color w:val="0A2240"/>
          <w:sz w:val="21"/>
        </w:rPr>
        <w:t>Subordinate Debt</w:t>
      </w:r>
    </w:p>
    <w:p>
      <w:pPr>
        <w:spacing w:after="80"/>
        <w:ind w:left="0"/>
      </w:pPr>
      <w:r>
        <w:rPr>
          <w:color w:val="334155"/>
          <w:sz w:val="20"/>
        </w:rPr>
        <w:t>Any debt paid only after senior debt is satisfied in default or sale.</w:t>
      </w:r>
    </w:p>
    <w:p>
      <w:pPr>
        <w:spacing w:before="120" w:after="20"/>
      </w:pPr>
      <w:r>
        <w:rPr>
          <w:b/>
          <w:color w:val="0A2240"/>
          <w:sz w:val="21"/>
        </w:rPr>
        <w:t>Syndication</w:t>
      </w:r>
    </w:p>
    <w:p>
      <w:pPr>
        <w:spacing w:after="80"/>
        <w:ind w:left="0"/>
      </w:pPr>
      <w:r>
        <w:rPr>
          <w:color w:val="334155"/>
          <w:sz w:val="20"/>
        </w:rPr>
        <w:t>Pooling capital from multiple investors to acquire larger properties together.</w:t>
      </w:r>
    </w:p>
    <w:p>
      <w:pPr>
        <w:spacing w:before="120" w:after="20"/>
      </w:pPr>
      <w:r>
        <w:rPr>
          <w:b/>
          <w:color w:val="0A2240"/>
          <w:sz w:val="21"/>
        </w:rPr>
        <w:t>Tag-Along Right</w:t>
      </w:r>
    </w:p>
    <w:p>
      <w:pPr>
        <w:spacing w:after="80"/>
        <w:ind w:left="0"/>
      </w:pPr>
      <w:r>
        <w:rPr>
          <w:color w:val="334155"/>
          <w:sz w:val="20"/>
        </w:rPr>
        <w:t>A minority owner's right to join a sale initiated by majority owners on the same terms.</w:t>
      </w:r>
    </w:p>
    <w:p>
      <w:pPr>
        <w:spacing w:before="120" w:after="20"/>
      </w:pPr>
      <w:r>
        <w:rPr>
          <w:b/>
          <w:color w:val="0A2240"/>
          <w:sz w:val="21"/>
        </w:rPr>
        <w:t>TVPI</w:t>
      </w:r>
    </w:p>
    <w:p>
      <w:pPr>
        <w:spacing w:after="80"/>
        <w:ind w:left="0"/>
      </w:pPr>
      <w:r>
        <w:rPr>
          <w:color w:val="334155"/>
          <w:sz w:val="20"/>
        </w:rPr>
        <w:t>Total Value to Paid-In capital — distributions plus residual value divided by invested capital.</w:t>
      </w:r>
    </w:p>
    <w:p>
      <w:pPr>
        <w:spacing w:before="120" w:after="20"/>
      </w:pPr>
      <w:r>
        <w:rPr>
          <w:b/>
          <w:color w:val="0A2240"/>
          <w:sz w:val="21"/>
        </w:rPr>
        <w:t>Vintage Year</w:t>
      </w:r>
    </w:p>
    <w:p>
      <w:pPr>
        <w:spacing w:after="80"/>
        <w:ind w:left="0"/>
      </w:pPr>
      <w:r>
        <w:rPr>
          <w:color w:val="334155"/>
          <w:sz w:val="20"/>
        </w:rPr>
        <w:t>The year a private fund first deployed capital — used to benchmark performance.</w:t>
      </w:r>
    </w:p>
    <w:p>
      <w:pPr>
        <w:spacing w:before="120" w:after="20"/>
      </w:pPr>
      <w:r>
        <w:rPr>
          <w:b/>
          <w:color w:val="0A2240"/>
          <w:sz w:val="21"/>
        </w:rPr>
        <w:t>Waterfall</w:t>
      </w:r>
    </w:p>
    <w:p>
      <w:pPr>
        <w:spacing w:after="80"/>
        <w:ind w:left="0"/>
      </w:pPr>
      <w:r>
        <w:rPr>
          <w:color w:val="334155"/>
          <w:sz w:val="20"/>
        </w:rPr>
        <w:t>The order in which distributions flow to debt, preferred equity, common equity, and the sponsor.</w:t>
      </w:r>
    </w:p>
    <w:p>
      <w:r>
        <w:rPr>
          <w:b/>
          <w:color w:val="B22234"/>
          <w:sz w:val="28"/>
        </w:rPr>
        <w:t>Closing &amp; Transactions</w:t>
      </w:r>
    </w:p>
    <w:p>
      <w:pPr>
        <w:spacing w:before="120" w:after="20"/>
      </w:pPr>
      <w:r>
        <w:rPr>
          <w:b/>
          <w:color w:val="0A2240"/>
          <w:sz w:val="21"/>
        </w:rPr>
        <w:t>Addendum</w:t>
      </w:r>
    </w:p>
    <w:p>
      <w:pPr>
        <w:spacing w:after="80"/>
        <w:ind w:left="0"/>
      </w:pPr>
      <w:r>
        <w:rPr>
          <w:color w:val="334155"/>
          <w:sz w:val="20"/>
        </w:rPr>
        <w:t>An add-on document modifying or supplementing a real estate contract.</w:t>
      </w:r>
    </w:p>
    <w:p>
      <w:pPr>
        <w:spacing w:before="120" w:after="20"/>
      </w:pPr>
      <w:r>
        <w:rPr>
          <w:b/>
          <w:color w:val="0A2240"/>
          <w:sz w:val="21"/>
        </w:rPr>
        <w:t>Affidavit</w:t>
      </w:r>
    </w:p>
    <w:p>
      <w:pPr>
        <w:spacing w:after="80"/>
        <w:ind w:left="0"/>
      </w:pPr>
      <w:r>
        <w:rPr>
          <w:color w:val="334155"/>
          <w:sz w:val="20"/>
        </w:rPr>
        <w:t>A sworn written statement, often used to confirm title matters at closing.</w:t>
      </w:r>
    </w:p>
    <w:p>
      <w:pPr>
        <w:spacing w:before="120" w:after="20"/>
      </w:pPr>
      <w:r>
        <w:rPr>
          <w:b/>
          <w:color w:val="0A2240"/>
          <w:sz w:val="21"/>
        </w:rPr>
        <w:t>As-Is Sale</w:t>
      </w:r>
    </w:p>
    <w:p>
      <w:pPr>
        <w:spacing w:after="80"/>
        <w:ind w:left="0"/>
      </w:pPr>
      <w:r>
        <w:rPr>
          <w:color w:val="334155"/>
          <w:sz w:val="20"/>
        </w:rPr>
        <w:t>A sale where the seller will not make repairs and the buyer accepts the property in its current condition.</w:t>
      </w:r>
    </w:p>
    <w:p>
      <w:pPr>
        <w:spacing w:before="120" w:after="20"/>
      </w:pPr>
      <w:r>
        <w:rPr>
          <w:b/>
          <w:color w:val="0A2240"/>
          <w:sz w:val="21"/>
        </w:rPr>
        <w:t>Backup Offer</w:t>
      </w:r>
    </w:p>
    <w:p>
      <w:pPr>
        <w:spacing w:after="80"/>
        <w:ind w:left="0"/>
      </w:pPr>
      <w:r>
        <w:rPr>
          <w:color w:val="334155"/>
          <w:sz w:val="20"/>
        </w:rPr>
        <w:t>An offer accepted as second priority in case the primary contract falls through.</w:t>
      </w:r>
    </w:p>
    <w:p>
      <w:pPr>
        <w:spacing w:before="120" w:after="20"/>
      </w:pPr>
      <w:r>
        <w:rPr>
          <w:b/>
          <w:color w:val="0A2240"/>
          <w:sz w:val="21"/>
        </w:rPr>
        <w:t>Bill of Sale</w:t>
      </w:r>
    </w:p>
    <w:p>
      <w:pPr>
        <w:spacing w:after="80"/>
        <w:ind w:left="0"/>
      </w:pPr>
      <w:r>
        <w:rPr>
          <w:color w:val="334155"/>
          <w:sz w:val="20"/>
        </w:rPr>
        <w:t>A document transferring ownership of personal property included with the real estate sale.</w:t>
      </w:r>
    </w:p>
    <w:p>
      <w:pPr>
        <w:spacing w:before="120" w:after="20"/>
      </w:pPr>
      <w:r>
        <w:rPr>
          <w:b/>
          <w:color w:val="0A2240"/>
          <w:sz w:val="21"/>
        </w:rPr>
        <w:t>Closing</w:t>
      </w:r>
    </w:p>
    <w:p>
      <w:pPr>
        <w:spacing w:after="80"/>
        <w:ind w:left="0"/>
      </w:pPr>
      <w:r>
        <w:rPr>
          <w:color w:val="334155"/>
          <w:sz w:val="20"/>
        </w:rPr>
        <w:t>The final step of a real estate transaction when title transfers and funds change hands.</w:t>
      </w:r>
    </w:p>
    <w:p>
      <w:pPr>
        <w:spacing w:before="120" w:after="20"/>
      </w:pPr>
      <w:r>
        <w:rPr>
          <w:b/>
          <w:color w:val="0A2240"/>
          <w:sz w:val="21"/>
        </w:rPr>
        <w:t>Closing Costs</w:t>
      </w:r>
    </w:p>
    <w:p>
      <w:pPr>
        <w:spacing w:after="80"/>
        <w:ind w:left="0"/>
      </w:pPr>
      <w:r>
        <w:rPr>
          <w:color w:val="334155"/>
          <w:sz w:val="20"/>
        </w:rPr>
        <w:t>Fees paid at closing, typically 2-5% of the purchase price, covering title, lender, escrow, and recording.</w:t>
      </w:r>
    </w:p>
    <w:p>
      <w:pPr>
        <w:spacing w:before="120" w:after="20"/>
      </w:pPr>
      <w:r>
        <w:rPr>
          <w:b/>
          <w:color w:val="0A2240"/>
          <w:sz w:val="21"/>
        </w:rPr>
        <w:t>Closing Disclosure (CD)</w:t>
      </w:r>
    </w:p>
    <w:p>
      <w:pPr>
        <w:spacing w:after="80"/>
        <w:ind w:left="0"/>
      </w:pPr>
      <w:r>
        <w:rPr>
          <w:color w:val="334155"/>
          <w:sz w:val="20"/>
        </w:rPr>
        <w:t>A federally required form detailing final loan terms and closing costs, delivered at least 3 days before closing.</w:t>
      </w:r>
    </w:p>
    <w:p>
      <w:pPr>
        <w:spacing w:before="120" w:after="20"/>
      </w:pPr>
      <w:r>
        <w:rPr>
          <w:b/>
          <w:color w:val="0A2240"/>
          <w:sz w:val="21"/>
        </w:rPr>
        <w:t>Closing Statement</w:t>
      </w:r>
    </w:p>
    <w:p>
      <w:pPr>
        <w:spacing w:after="80"/>
        <w:ind w:left="0"/>
      </w:pPr>
      <w:r>
        <w:rPr>
          <w:color w:val="334155"/>
          <w:sz w:val="20"/>
        </w:rPr>
        <w:t>Final accounting of who pays what at closing — replaced by the Closing Disclosure for most loans.</w:t>
      </w:r>
    </w:p>
    <w:p>
      <w:pPr>
        <w:spacing w:before="120" w:after="20"/>
      </w:pPr>
      <w:r>
        <w:rPr>
          <w:b/>
          <w:color w:val="0A2240"/>
          <w:sz w:val="21"/>
        </w:rPr>
        <w:t>Contingency</w:t>
      </w:r>
    </w:p>
    <w:p>
      <w:pPr>
        <w:spacing w:after="80"/>
        <w:ind w:left="0"/>
      </w:pPr>
      <w:r>
        <w:rPr>
          <w:color w:val="334155"/>
          <w:sz w:val="20"/>
        </w:rPr>
        <w:t>A condition that must be met before a contract becomes binding (inspection, financing, appraisal).</w:t>
      </w:r>
    </w:p>
    <w:p>
      <w:pPr>
        <w:spacing w:before="120" w:after="20"/>
      </w:pPr>
      <w:r>
        <w:rPr>
          <w:b/>
          <w:color w:val="0A2240"/>
          <w:sz w:val="21"/>
        </w:rPr>
        <w:t>Counteroffer</w:t>
      </w:r>
    </w:p>
    <w:p>
      <w:pPr>
        <w:spacing w:after="80"/>
        <w:ind w:left="0"/>
      </w:pPr>
      <w:r>
        <w:rPr>
          <w:color w:val="334155"/>
          <w:sz w:val="20"/>
        </w:rPr>
        <w:t>A new offer made in response to a previous one, rejecting the original terms.</w:t>
      </w:r>
    </w:p>
    <w:p>
      <w:pPr>
        <w:spacing w:before="120" w:after="20"/>
      </w:pPr>
      <w:r>
        <w:rPr>
          <w:b/>
          <w:color w:val="0A2240"/>
          <w:sz w:val="21"/>
        </w:rPr>
        <w:t>Deed</w:t>
      </w:r>
    </w:p>
    <w:p>
      <w:pPr>
        <w:spacing w:after="80"/>
        <w:ind w:left="0"/>
      </w:pPr>
      <w:r>
        <w:rPr>
          <w:color w:val="334155"/>
          <w:sz w:val="20"/>
        </w:rPr>
        <w:t>The legal document that transfers ownership of real property from one party to another.</w:t>
      </w:r>
    </w:p>
    <w:p>
      <w:pPr>
        <w:spacing w:before="120" w:after="20"/>
      </w:pPr>
      <w:r>
        <w:rPr>
          <w:b/>
          <w:color w:val="0A2240"/>
          <w:sz w:val="21"/>
        </w:rPr>
        <w:t>Disclosure Statement</w:t>
      </w:r>
    </w:p>
    <w:p>
      <w:pPr>
        <w:spacing w:after="80"/>
        <w:ind w:left="0"/>
      </w:pPr>
      <w:r>
        <w:rPr>
          <w:color w:val="334155"/>
          <w:sz w:val="20"/>
        </w:rPr>
        <w:t>A seller's written statement about a property's known defects and history.</w:t>
      </w:r>
    </w:p>
    <w:p>
      <w:pPr>
        <w:spacing w:before="120" w:after="20"/>
      </w:pPr>
      <w:r>
        <w:rPr>
          <w:b/>
          <w:color w:val="0A2240"/>
          <w:sz w:val="21"/>
        </w:rPr>
        <w:t>Dry Settlement</w:t>
      </w:r>
    </w:p>
    <w:p>
      <w:pPr>
        <w:spacing w:after="80"/>
        <w:ind w:left="0"/>
      </w:pPr>
      <w:r>
        <w:rPr>
          <w:color w:val="334155"/>
          <w:sz w:val="20"/>
        </w:rPr>
        <w:t>Documents are signed but funds disburse a few days later, common in some western states.</w:t>
      </w:r>
    </w:p>
    <w:p>
      <w:pPr>
        <w:spacing w:before="120" w:after="20"/>
      </w:pPr>
      <w:r>
        <w:rPr>
          <w:b/>
          <w:color w:val="0A2240"/>
          <w:sz w:val="21"/>
        </w:rPr>
        <w:t>E-Closing</w:t>
      </w:r>
    </w:p>
    <w:p>
      <w:pPr>
        <w:spacing w:after="80"/>
        <w:ind w:left="0"/>
      </w:pPr>
      <w:r>
        <w:rPr>
          <w:color w:val="334155"/>
          <w:sz w:val="20"/>
        </w:rPr>
        <w:t>Real estate closings conducted fully or partly digitally with electronic signatures.</w:t>
      </w:r>
    </w:p>
    <w:p>
      <w:pPr>
        <w:spacing w:before="120" w:after="20"/>
      </w:pPr>
      <w:r>
        <w:rPr>
          <w:b/>
          <w:color w:val="0A2240"/>
          <w:sz w:val="21"/>
        </w:rPr>
        <w:t>Earnest Money</w:t>
      </w:r>
    </w:p>
    <w:p>
      <w:pPr>
        <w:spacing w:after="80"/>
        <w:ind w:left="0"/>
      </w:pPr>
      <w:r>
        <w:rPr>
          <w:color w:val="334155"/>
          <w:sz w:val="20"/>
        </w:rPr>
        <w:t>A buyer's good-faith deposit, held in escrow and credited toward closing costs.</w:t>
      </w:r>
    </w:p>
    <w:p>
      <w:pPr>
        <w:spacing w:before="120" w:after="20"/>
      </w:pPr>
      <w:r>
        <w:rPr>
          <w:b/>
          <w:color w:val="0A2240"/>
          <w:sz w:val="21"/>
        </w:rPr>
        <w:t>Escrow</w:t>
      </w:r>
    </w:p>
    <w:p>
      <w:pPr>
        <w:spacing w:after="80"/>
        <w:ind w:left="0"/>
      </w:pPr>
      <w:r>
        <w:rPr>
          <w:color w:val="334155"/>
          <w:sz w:val="20"/>
        </w:rPr>
        <w:t>A neutral third party that holds funds and documents until contract conditions are met.</w:t>
      </w:r>
    </w:p>
    <w:p>
      <w:pPr>
        <w:spacing w:before="120" w:after="20"/>
      </w:pPr>
      <w:r>
        <w:rPr>
          <w:b/>
          <w:color w:val="0A2240"/>
          <w:sz w:val="21"/>
        </w:rPr>
        <w:t>Escrow Account</w:t>
      </w:r>
    </w:p>
    <w:p>
      <w:pPr>
        <w:spacing w:after="80"/>
        <w:ind w:left="0"/>
      </w:pPr>
      <w:r>
        <w:rPr>
          <w:color w:val="334155"/>
          <w:sz w:val="20"/>
        </w:rPr>
        <w:t>A separate account a lender uses to collect and disburse taxes and insurance.</w:t>
      </w:r>
    </w:p>
    <w:p>
      <w:pPr>
        <w:spacing w:before="120" w:after="20"/>
      </w:pPr>
      <w:r>
        <w:rPr>
          <w:b/>
          <w:color w:val="0A2240"/>
          <w:sz w:val="21"/>
        </w:rPr>
        <w:t>Escrow Holdback</w:t>
      </w:r>
    </w:p>
    <w:p>
      <w:pPr>
        <w:spacing w:after="80"/>
        <w:ind w:left="0"/>
      </w:pPr>
      <w:r>
        <w:rPr>
          <w:color w:val="334155"/>
          <w:sz w:val="20"/>
        </w:rPr>
        <w:t>Funds withheld at closing to cover anticipated repairs or contingencies.</w:t>
      </w:r>
    </w:p>
    <w:p>
      <w:pPr>
        <w:spacing w:before="120" w:after="20"/>
      </w:pPr>
      <w:r>
        <w:rPr>
          <w:b/>
          <w:color w:val="0A2240"/>
          <w:sz w:val="21"/>
        </w:rPr>
        <w:t>Escrow Officer</w:t>
      </w:r>
    </w:p>
    <w:p>
      <w:pPr>
        <w:spacing w:after="80"/>
        <w:ind w:left="0"/>
      </w:pPr>
      <w:r>
        <w:rPr>
          <w:color w:val="334155"/>
          <w:sz w:val="20"/>
        </w:rPr>
        <w:t>The neutral professional managing escrow for a real estate closing.</w:t>
      </w:r>
    </w:p>
    <w:p>
      <w:pPr>
        <w:spacing w:before="120" w:after="20"/>
      </w:pPr>
      <w:r>
        <w:rPr>
          <w:b/>
          <w:color w:val="0A2240"/>
          <w:sz w:val="21"/>
        </w:rPr>
        <w:t>Final Walkthrough</w:t>
      </w:r>
    </w:p>
    <w:p>
      <w:pPr>
        <w:spacing w:after="80"/>
        <w:ind w:left="0"/>
      </w:pPr>
      <w:r>
        <w:rPr>
          <w:color w:val="334155"/>
          <w:sz w:val="20"/>
        </w:rPr>
        <w:t>Last buyer inspection of the property before closing to confirm condition.</w:t>
      </w:r>
    </w:p>
    <w:p>
      <w:pPr>
        <w:spacing w:before="120" w:after="20"/>
      </w:pPr>
      <w:r>
        <w:rPr>
          <w:b/>
          <w:color w:val="0A2240"/>
          <w:sz w:val="21"/>
        </w:rPr>
        <w:t>Grant Deed</w:t>
      </w:r>
    </w:p>
    <w:p>
      <w:pPr>
        <w:spacing w:after="80"/>
        <w:ind w:left="0"/>
      </w:pPr>
      <w:r>
        <w:rPr>
          <w:color w:val="334155"/>
          <w:sz w:val="20"/>
        </w:rPr>
        <w:t>A deed conveying ownership with a limited warranty against prior conveyances and undisclosed encumbrances.</w:t>
      </w:r>
    </w:p>
    <w:p>
      <w:pPr>
        <w:spacing w:before="120" w:after="20"/>
      </w:pPr>
      <w:r>
        <w:rPr>
          <w:b/>
          <w:color w:val="0A2240"/>
          <w:sz w:val="21"/>
        </w:rPr>
        <w:t>Loan Estimate (LE)</w:t>
      </w:r>
    </w:p>
    <w:p>
      <w:pPr>
        <w:spacing w:after="80"/>
        <w:ind w:left="0"/>
      </w:pPr>
      <w:r>
        <w:rPr>
          <w:color w:val="334155"/>
          <w:sz w:val="20"/>
        </w:rPr>
        <w:t>A standardized 3-page form from a lender estimating loan terms and closing costs.</w:t>
      </w:r>
    </w:p>
    <w:p>
      <w:pPr>
        <w:spacing w:before="120" w:after="20"/>
      </w:pPr>
      <w:r>
        <w:rPr>
          <w:b/>
          <w:color w:val="0A2240"/>
          <w:sz w:val="21"/>
        </w:rPr>
        <w:t>Mobile Notary</w:t>
      </w:r>
    </w:p>
    <w:p>
      <w:pPr>
        <w:spacing w:after="80"/>
        <w:ind w:left="0"/>
      </w:pPr>
      <w:r>
        <w:rPr>
          <w:color w:val="334155"/>
          <w:sz w:val="20"/>
        </w:rPr>
        <w:t>A notary who travels to the signer's location, common for remote real estate closings.</w:t>
      </w:r>
    </w:p>
    <w:p>
      <w:pPr>
        <w:spacing w:before="120" w:after="20"/>
      </w:pPr>
      <w:r>
        <w:rPr>
          <w:b/>
          <w:color w:val="0A2240"/>
          <w:sz w:val="21"/>
        </w:rPr>
        <w:t>Mortgage Recording Tax</w:t>
      </w:r>
    </w:p>
    <w:p>
      <w:pPr>
        <w:spacing w:after="80"/>
        <w:ind w:left="0"/>
      </w:pPr>
      <w:r>
        <w:rPr>
          <w:color w:val="334155"/>
          <w:sz w:val="20"/>
        </w:rPr>
        <w:t>A state tax on new mortgages, common in NY and a few other states.</w:t>
      </w:r>
    </w:p>
    <w:p>
      <w:pPr>
        <w:spacing w:before="120" w:after="20"/>
      </w:pPr>
      <w:r>
        <w:rPr>
          <w:b/>
          <w:color w:val="0A2240"/>
          <w:sz w:val="21"/>
        </w:rPr>
        <w:t>Notary Public</w:t>
      </w:r>
    </w:p>
    <w:p>
      <w:pPr>
        <w:spacing w:after="80"/>
        <w:ind w:left="0"/>
      </w:pPr>
      <w:r>
        <w:rPr>
          <w:color w:val="334155"/>
          <w:sz w:val="20"/>
        </w:rPr>
        <w:t>An official authorized to witness signatures on legal documents.</w:t>
      </w:r>
    </w:p>
    <w:p>
      <w:pPr>
        <w:spacing w:before="120" w:after="20"/>
      </w:pPr>
      <w:r>
        <w:rPr>
          <w:b/>
          <w:color w:val="0A2240"/>
          <w:sz w:val="21"/>
        </w:rPr>
        <w:t>Option Period</w:t>
      </w:r>
    </w:p>
    <w:p>
      <w:pPr>
        <w:spacing w:after="80"/>
        <w:ind w:left="0"/>
      </w:pPr>
      <w:r>
        <w:rPr>
          <w:color w:val="334155"/>
          <w:sz w:val="20"/>
        </w:rPr>
        <w:t>A negotiated window allowing the buyer to back out without losing earnest money.</w:t>
      </w:r>
    </w:p>
    <w:p>
      <w:pPr>
        <w:spacing w:before="120" w:after="20"/>
      </w:pPr>
      <w:r>
        <w:rPr>
          <w:b/>
          <w:color w:val="0A2240"/>
          <w:sz w:val="21"/>
        </w:rPr>
        <w:t>Possession at Funding</w:t>
      </w:r>
    </w:p>
    <w:p>
      <w:pPr>
        <w:spacing w:after="80"/>
        <w:ind w:left="0"/>
      </w:pPr>
      <w:r>
        <w:rPr>
          <w:color w:val="334155"/>
          <w:sz w:val="20"/>
        </w:rPr>
        <w:t>Buyer takes possession when the loan funds — typical same-day closings.</w:t>
      </w:r>
    </w:p>
    <w:p>
      <w:pPr>
        <w:spacing w:before="120" w:after="20"/>
      </w:pPr>
      <w:r>
        <w:rPr>
          <w:b/>
          <w:color w:val="0A2240"/>
          <w:sz w:val="21"/>
        </w:rPr>
        <w:t>Possession at Recording</w:t>
      </w:r>
    </w:p>
    <w:p>
      <w:pPr>
        <w:spacing w:after="80"/>
        <w:ind w:left="0"/>
      </w:pPr>
      <w:r>
        <w:rPr>
          <w:color w:val="334155"/>
          <w:sz w:val="20"/>
        </w:rPr>
        <w:t>Buyer takes possession when the deed records — common in some western states.</w:t>
      </w:r>
    </w:p>
    <w:p>
      <w:pPr>
        <w:spacing w:before="120" w:after="20"/>
      </w:pPr>
      <w:r>
        <w:rPr>
          <w:b/>
          <w:color w:val="0A2240"/>
          <w:sz w:val="21"/>
        </w:rPr>
        <w:t>Possession Date</w:t>
      </w:r>
    </w:p>
    <w:p>
      <w:pPr>
        <w:spacing w:after="80"/>
        <w:ind w:left="0"/>
      </w:pPr>
      <w:r>
        <w:rPr>
          <w:color w:val="334155"/>
          <w:sz w:val="20"/>
        </w:rPr>
        <w:t>The date when the buyer takes physical possession of the property — sometimes different from closing.</w:t>
      </w:r>
    </w:p>
    <w:p>
      <w:pPr>
        <w:spacing w:before="120" w:after="20"/>
      </w:pPr>
      <w:r>
        <w:rPr>
          <w:b/>
          <w:color w:val="0A2240"/>
          <w:sz w:val="21"/>
        </w:rPr>
        <w:t>Power of Attorney (Closing)</w:t>
      </w:r>
    </w:p>
    <w:p>
      <w:pPr>
        <w:spacing w:after="80"/>
        <w:ind w:left="0"/>
      </w:pPr>
      <w:r>
        <w:rPr>
          <w:color w:val="334155"/>
          <w:sz w:val="20"/>
        </w:rPr>
        <w:t>A document allowing another to sign closing paperwork on behalf of an absent party.</w:t>
      </w:r>
    </w:p>
    <w:p>
      <w:pPr>
        <w:spacing w:before="120" w:after="20"/>
      </w:pPr>
      <w:r>
        <w:rPr>
          <w:b/>
          <w:color w:val="0A2240"/>
          <w:sz w:val="21"/>
        </w:rPr>
        <w:t>Proration</w:t>
      </w:r>
    </w:p>
    <w:p>
      <w:pPr>
        <w:spacing w:after="80"/>
        <w:ind w:left="0"/>
      </w:pPr>
      <w:r>
        <w:rPr>
          <w:color w:val="334155"/>
          <w:sz w:val="20"/>
        </w:rPr>
        <w:t>The division of property taxes, HOA dues, or rents between buyer and seller at closing.</w:t>
      </w:r>
    </w:p>
    <w:p>
      <w:pPr>
        <w:spacing w:before="120" w:after="20"/>
      </w:pPr>
      <w:r>
        <w:rPr>
          <w:b/>
          <w:color w:val="0A2240"/>
          <w:sz w:val="21"/>
        </w:rPr>
        <w:t>Purchase and Sale Agreement (PSA)</w:t>
      </w:r>
    </w:p>
    <w:p>
      <w:pPr>
        <w:spacing w:after="80"/>
        <w:ind w:left="0"/>
      </w:pPr>
      <w:r>
        <w:rPr>
          <w:color w:val="334155"/>
          <w:sz w:val="20"/>
        </w:rPr>
        <w:t>The binding contract between buyer and seller of real estate.</w:t>
      </w:r>
    </w:p>
    <w:p>
      <w:pPr>
        <w:spacing w:before="120" w:after="20"/>
      </w:pPr>
      <w:r>
        <w:rPr>
          <w:b/>
          <w:color w:val="0A2240"/>
          <w:sz w:val="21"/>
        </w:rPr>
        <w:t>Quitclaim Deed</w:t>
      </w:r>
    </w:p>
    <w:p>
      <w:pPr>
        <w:spacing w:after="80"/>
        <w:ind w:left="0"/>
      </w:pPr>
      <w:r>
        <w:rPr>
          <w:color w:val="334155"/>
          <w:sz w:val="20"/>
        </w:rPr>
        <w:t>A deed that transfers whatever interest the grantor has without any warranty of title.</w:t>
      </w:r>
    </w:p>
    <w:p>
      <w:pPr>
        <w:spacing w:before="120" w:after="20"/>
      </w:pPr>
      <w:r>
        <w:rPr>
          <w:b/>
          <w:color w:val="0A2240"/>
          <w:sz w:val="21"/>
        </w:rPr>
        <w:t>Recording</w:t>
      </w:r>
    </w:p>
    <w:p>
      <w:pPr>
        <w:spacing w:after="80"/>
        <w:ind w:left="0"/>
      </w:pPr>
      <w:r>
        <w:rPr>
          <w:color w:val="334155"/>
          <w:sz w:val="20"/>
        </w:rPr>
        <w:t>The act of filing real estate documents with a local government office to give public notice.</w:t>
      </w:r>
    </w:p>
    <w:p>
      <w:pPr>
        <w:spacing w:before="120" w:after="20"/>
      </w:pPr>
      <w:r>
        <w:rPr>
          <w:b/>
          <w:color w:val="0A2240"/>
          <w:sz w:val="21"/>
        </w:rPr>
        <w:t>Recording Fee</w:t>
      </w:r>
    </w:p>
    <w:p>
      <w:pPr>
        <w:spacing w:after="80"/>
        <w:ind w:left="0"/>
      </w:pPr>
      <w:r>
        <w:rPr>
          <w:color w:val="334155"/>
          <w:sz w:val="20"/>
        </w:rPr>
        <w:t>The fee paid to a county recorder to file deeds and mortgages.</w:t>
      </w:r>
    </w:p>
    <w:p>
      <w:pPr>
        <w:spacing w:before="120" w:after="20"/>
      </w:pPr>
      <w:r>
        <w:rPr>
          <w:b/>
          <w:color w:val="0A2240"/>
          <w:sz w:val="21"/>
        </w:rPr>
        <w:t>Rent-Back</w:t>
      </w:r>
    </w:p>
    <w:p>
      <w:pPr>
        <w:spacing w:after="80"/>
        <w:ind w:left="0"/>
      </w:pPr>
      <w:r>
        <w:rPr>
          <w:color w:val="334155"/>
          <w:sz w:val="20"/>
        </w:rPr>
        <w:t>An arrangement where the seller leases the property from the buyer after closing.</w:t>
      </w:r>
    </w:p>
    <w:p>
      <w:pPr>
        <w:spacing w:before="120" w:after="20"/>
      </w:pPr>
      <w:r>
        <w:rPr>
          <w:b/>
          <w:color w:val="0A2240"/>
          <w:sz w:val="21"/>
        </w:rPr>
        <w:t>RON</w:t>
      </w:r>
    </w:p>
    <w:p>
      <w:pPr>
        <w:spacing w:after="80"/>
        <w:ind w:left="0"/>
      </w:pPr>
      <w:r>
        <w:rPr>
          <w:color w:val="334155"/>
          <w:sz w:val="20"/>
        </w:rPr>
        <w:t>Remote Online Notarization — notarial acts performed via secure video, legal in many states.</w:t>
      </w:r>
    </w:p>
    <w:p>
      <w:pPr>
        <w:spacing w:before="120" w:after="20"/>
      </w:pPr>
      <w:r>
        <w:rPr>
          <w:b/>
          <w:color w:val="0A2240"/>
          <w:sz w:val="21"/>
        </w:rPr>
        <w:t>Settlement Agent</w:t>
      </w:r>
    </w:p>
    <w:p>
      <w:pPr>
        <w:spacing w:after="80"/>
        <w:ind w:left="0"/>
      </w:pPr>
      <w:r>
        <w:rPr>
          <w:color w:val="334155"/>
          <w:sz w:val="20"/>
        </w:rPr>
        <w:t>The neutral party (attorney, escrow officer, title agent) coordinating closing.</w:t>
      </w:r>
    </w:p>
    <w:p>
      <w:pPr>
        <w:spacing w:before="120" w:after="20"/>
      </w:pPr>
      <w:r>
        <w:rPr>
          <w:b/>
          <w:color w:val="0A2240"/>
          <w:sz w:val="21"/>
        </w:rPr>
        <w:t>Settlement Date</w:t>
      </w:r>
    </w:p>
    <w:p>
      <w:pPr>
        <w:spacing w:after="80"/>
        <w:ind w:left="0"/>
      </w:pPr>
      <w:r>
        <w:rPr>
          <w:color w:val="334155"/>
          <w:sz w:val="20"/>
        </w:rPr>
        <w:t>The date funds and title transfer at closing.</w:t>
      </w:r>
    </w:p>
    <w:p>
      <w:pPr>
        <w:spacing w:before="120" w:after="20"/>
      </w:pPr>
      <w:r>
        <w:rPr>
          <w:b/>
          <w:color w:val="0A2240"/>
          <w:sz w:val="21"/>
        </w:rPr>
        <w:t>Settlement Statement</w:t>
      </w:r>
    </w:p>
    <w:p>
      <w:pPr>
        <w:spacing w:after="80"/>
        <w:ind w:left="0"/>
      </w:pPr>
      <w:r>
        <w:rPr>
          <w:color w:val="334155"/>
          <w:sz w:val="20"/>
        </w:rPr>
        <w:t>An itemized summary of charges and credits for buyer and seller at closing.</w:t>
      </w:r>
    </w:p>
    <w:p>
      <w:pPr>
        <w:spacing w:before="120" w:after="20"/>
      </w:pPr>
      <w:r>
        <w:rPr>
          <w:b/>
          <w:color w:val="0A2240"/>
          <w:sz w:val="21"/>
        </w:rPr>
        <w:t>Title Commitment</w:t>
      </w:r>
    </w:p>
    <w:p>
      <w:pPr>
        <w:spacing w:after="80"/>
        <w:ind w:left="0"/>
      </w:pPr>
      <w:r>
        <w:rPr>
          <w:color w:val="334155"/>
          <w:sz w:val="20"/>
        </w:rPr>
        <w:t>A title company's promise to issue a title insurance policy under specified conditions.</w:t>
      </w:r>
    </w:p>
    <w:p>
      <w:pPr>
        <w:spacing w:before="120" w:after="20"/>
      </w:pPr>
      <w:r>
        <w:rPr>
          <w:b/>
          <w:color w:val="0A2240"/>
          <w:sz w:val="21"/>
        </w:rPr>
        <w:t>Transfer Tax</w:t>
      </w:r>
    </w:p>
    <w:p>
      <w:pPr>
        <w:spacing w:after="80"/>
        <w:ind w:left="0"/>
      </w:pPr>
      <w:r>
        <w:rPr>
          <w:color w:val="334155"/>
          <w:sz w:val="20"/>
        </w:rPr>
        <w:t>A state or local tax on property sales, often a percentage of price.</w:t>
      </w:r>
    </w:p>
    <w:p>
      <w:pPr>
        <w:spacing w:before="120" w:after="20"/>
      </w:pPr>
      <w:r>
        <w:rPr>
          <w:b/>
          <w:color w:val="0A2240"/>
          <w:sz w:val="21"/>
        </w:rPr>
        <w:t>Walkthrough</w:t>
      </w:r>
    </w:p>
    <w:p>
      <w:pPr>
        <w:spacing w:after="80"/>
        <w:ind w:left="0"/>
      </w:pPr>
      <w:r>
        <w:rPr>
          <w:color w:val="334155"/>
          <w:sz w:val="20"/>
        </w:rPr>
        <w:t>The buyer's final inspection of a property, typically within 24-48 hours of closing.</w:t>
      </w:r>
    </w:p>
    <w:p>
      <w:pPr>
        <w:spacing w:before="120" w:after="20"/>
      </w:pPr>
      <w:r>
        <w:rPr>
          <w:b/>
          <w:color w:val="0A2240"/>
          <w:sz w:val="21"/>
        </w:rPr>
        <w:t>Warranty Deed</w:t>
      </w:r>
    </w:p>
    <w:p>
      <w:pPr>
        <w:spacing w:after="80"/>
        <w:ind w:left="0"/>
      </w:pPr>
      <w:r>
        <w:rPr>
          <w:color w:val="334155"/>
          <w:sz w:val="20"/>
        </w:rPr>
        <w:t>A deed in which the seller guarantees clear title and defends against future claims.</w:t>
      </w:r>
    </w:p>
    <w:p>
      <w:pPr>
        <w:spacing w:before="120" w:after="20"/>
      </w:pPr>
      <w:r>
        <w:rPr>
          <w:b/>
          <w:color w:val="0A2240"/>
          <w:sz w:val="21"/>
        </w:rPr>
        <w:t>Wet Settlement</w:t>
      </w:r>
    </w:p>
    <w:p>
      <w:pPr>
        <w:spacing w:after="80"/>
        <w:ind w:left="0"/>
      </w:pPr>
      <w:r>
        <w:rPr>
          <w:color w:val="334155"/>
          <w:sz w:val="20"/>
        </w:rPr>
        <w:t>Loan funds are disbursed at closing, same day as document signing.</w:t>
      </w:r>
    </w:p>
    <w:p>
      <w:pPr>
        <w:spacing w:before="120" w:after="20"/>
      </w:pPr>
      <w:r>
        <w:rPr>
          <w:b/>
          <w:color w:val="0A2240"/>
          <w:sz w:val="21"/>
        </w:rPr>
        <w:t>Wire Transfer</w:t>
      </w:r>
    </w:p>
    <w:p>
      <w:pPr>
        <w:spacing w:after="80"/>
        <w:ind w:left="0"/>
      </w:pPr>
      <w:r>
        <w:rPr>
          <w:color w:val="334155"/>
          <w:sz w:val="20"/>
        </w:rPr>
        <w:t>The electronic movement of funds between banks, commonly used to pay closing costs.</w:t>
      </w:r>
    </w:p>
    <w:p>
      <w:r>
        <w:rPr>
          <w:b/>
          <w:color w:val="B22234"/>
          <w:sz w:val="28"/>
        </w:rPr>
        <w:t>Commercial Leasing</w:t>
      </w:r>
    </w:p>
    <w:p>
      <w:pPr>
        <w:spacing w:before="120" w:after="20"/>
      </w:pPr>
      <w:r>
        <w:rPr>
          <w:b/>
          <w:color w:val="0A2240"/>
          <w:sz w:val="21"/>
        </w:rPr>
        <w:t>Absolute NNN</w:t>
      </w:r>
    </w:p>
    <w:p>
      <w:pPr>
        <w:spacing w:after="80"/>
        <w:ind w:left="0"/>
      </w:pPr>
      <w:r>
        <w:rPr>
          <w:color w:val="334155"/>
          <w:sz w:val="20"/>
        </w:rPr>
        <w:t>A lease where the tenant is responsible for absolutely all costs including structural repairs.</w:t>
      </w:r>
    </w:p>
    <w:p>
      <w:pPr>
        <w:spacing w:before="120" w:after="20"/>
      </w:pPr>
      <w:r>
        <w:rPr>
          <w:b/>
          <w:color w:val="0A2240"/>
          <w:sz w:val="21"/>
        </w:rPr>
        <w:t>Anchor Tenant</w:t>
      </w:r>
    </w:p>
    <w:p>
      <w:pPr>
        <w:spacing w:after="80"/>
        <w:ind w:left="0"/>
      </w:pPr>
      <w:r>
        <w:rPr>
          <w:color w:val="334155"/>
          <w:sz w:val="20"/>
        </w:rPr>
        <w:t>The largest tenant in a retail center, often a national brand drawing customer traffic.</w:t>
      </w:r>
    </w:p>
    <w:p>
      <w:pPr>
        <w:spacing w:before="120" w:after="20"/>
      </w:pPr>
      <w:r>
        <w:rPr>
          <w:b/>
          <w:color w:val="0A2240"/>
          <w:sz w:val="21"/>
        </w:rPr>
        <w:t>Build-to-Suit</w:t>
      </w:r>
    </w:p>
    <w:p>
      <w:pPr>
        <w:spacing w:after="80"/>
        <w:ind w:left="0"/>
      </w:pPr>
      <w:r>
        <w:rPr>
          <w:color w:val="334155"/>
          <w:sz w:val="20"/>
        </w:rPr>
        <w:t>A property constructed to a tenant's specifications under a pre-arranged lease.</w:t>
      </w:r>
    </w:p>
    <w:p>
      <w:pPr>
        <w:spacing w:before="120" w:after="20"/>
      </w:pPr>
      <w:r>
        <w:rPr>
          <w:b/>
          <w:color w:val="0A2240"/>
          <w:sz w:val="21"/>
        </w:rPr>
        <w:t>Co-Tenancy Clause</w:t>
      </w:r>
    </w:p>
    <w:p>
      <w:pPr>
        <w:spacing w:after="80"/>
        <w:ind w:left="0"/>
      </w:pPr>
      <w:r>
        <w:rPr>
          <w:color w:val="334155"/>
          <w:sz w:val="20"/>
        </w:rPr>
        <w:t>A retail lease term that adjusts rent if anchor tenants leave or occupancy drops.</w:t>
      </w:r>
    </w:p>
    <w:p>
      <w:pPr>
        <w:spacing w:before="120" w:after="20"/>
      </w:pPr>
      <w:r>
        <w:rPr>
          <w:b/>
          <w:color w:val="0A2240"/>
          <w:sz w:val="21"/>
        </w:rPr>
        <w:t>Cold Shell</w:t>
      </w:r>
    </w:p>
    <w:p>
      <w:pPr>
        <w:spacing w:after="80"/>
        <w:ind w:left="0"/>
      </w:pPr>
      <w:r>
        <w:rPr>
          <w:color w:val="334155"/>
          <w:sz w:val="20"/>
        </w:rPr>
        <w:t>A leased space with bare floors, ceilings, and walls — no MEP systems installed.</w:t>
      </w:r>
    </w:p>
    <w:p>
      <w:pPr>
        <w:spacing w:before="120" w:after="20"/>
      </w:pPr>
      <w:r>
        <w:rPr>
          <w:b/>
          <w:color w:val="0A2240"/>
          <w:sz w:val="21"/>
        </w:rPr>
        <w:t>Effective Rent</w:t>
      </w:r>
    </w:p>
    <w:p>
      <w:pPr>
        <w:spacing w:after="80"/>
        <w:ind w:left="0"/>
      </w:pPr>
      <w:r>
        <w:rPr>
          <w:color w:val="334155"/>
          <w:sz w:val="20"/>
        </w:rPr>
        <w:t>Average rent over the lease term, accounting for free rent and concessions.</w:t>
      </w:r>
    </w:p>
    <w:p>
      <w:pPr>
        <w:spacing w:before="120" w:after="20"/>
      </w:pPr>
      <w:r>
        <w:rPr>
          <w:b/>
          <w:color w:val="0A2240"/>
          <w:sz w:val="21"/>
        </w:rPr>
        <w:t>Estoppel Certificate</w:t>
      </w:r>
    </w:p>
    <w:p>
      <w:pPr>
        <w:spacing w:after="80"/>
        <w:ind w:left="0"/>
      </w:pPr>
      <w:r>
        <w:rPr>
          <w:color w:val="334155"/>
          <w:sz w:val="20"/>
        </w:rPr>
        <w:t>A tenant statement confirming lease terms and any defaults, used in sales or financing.</w:t>
      </w:r>
    </w:p>
    <w:p>
      <w:pPr>
        <w:spacing w:before="120" w:after="20"/>
      </w:pPr>
      <w:r>
        <w:rPr>
          <w:b/>
          <w:color w:val="0A2240"/>
          <w:sz w:val="21"/>
        </w:rPr>
        <w:t>Face Rent</w:t>
      </w:r>
    </w:p>
    <w:p>
      <w:pPr>
        <w:spacing w:after="80"/>
        <w:ind w:left="0"/>
      </w:pPr>
      <w:r>
        <w:rPr>
          <w:color w:val="334155"/>
          <w:sz w:val="20"/>
        </w:rPr>
        <w:t>The stated rent in a lease before deductions or concessions.</w:t>
      </w:r>
    </w:p>
    <w:p>
      <w:pPr>
        <w:spacing w:before="120" w:after="20"/>
      </w:pPr>
      <w:r>
        <w:rPr>
          <w:b/>
          <w:color w:val="0A2240"/>
          <w:sz w:val="21"/>
        </w:rPr>
        <w:t>Free Rent</w:t>
      </w:r>
    </w:p>
    <w:p>
      <w:pPr>
        <w:spacing w:after="80"/>
        <w:ind w:left="0"/>
      </w:pPr>
      <w:r>
        <w:rPr>
          <w:color w:val="334155"/>
          <w:sz w:val="20"/>
        </w:rPr>
        <w:t>Months at the start of a lease where no rent is owed, used as an incentive.</w:t>
      </w:r>
    </w:p>
    <w:p>
      <w:pPr>
        <w:spacing w:before="120" w:after="20"/>
      </w:pPr>
      <w:r>
        <w:rPr>
          <w:b/>
          <w:color w:val="0A2240"/>
          <w:sz w:val="21"/>
        </w:rPr>
        <w:t>Gross Up Provision</w:t>
      </w:r>
    </w:p>
    <w:p>
      <w:pPr>
        <w:spacing w:after="80"/>
        <w:ind w:left="0"/>
      </w:pPr>
      <w:r>
        <w:rPr>
          <w:color w:val="334155"/>
          <w:sz w:val="20"/>
        </w:rPr>
        <w:t>A lease clause that adjusts expense reimbursements as if the building were fully occupied.</w:t>
      </w:r>
    </w:p>
    <w:p>
      <w:pPr>
        <w:spacing w:before="120" w:after="20"/>
      </w:pPr>
      <w:r>
        <w:rPr>
          <w:b/>
          <w:color w:val="0A2240"/>
          <w:sz w:val="21"/>
        </w:rPr>
        <w:t>Letter of Intent (LOI)</w:t>
      </w:r>
    </w:p>
    <w:p>
      <w:pPr>
        <w:spacing w:after="80"/>
        <w:ind w:left="0"/>
      </w:pPr>
      <w:r>
        <w:rPr>
          <w:color w:val="334155"/>
          <w:sz w:val="20"/>
        </w:rPr>
        <w:t>A non-binding outline of major lease terms before drafting a full lease.</w:t>
      </w:r>
    </w:p>
    <w:p>
      <w:pPr>
        <w:spacing w:before="120" w:after="20"/>
      </w:pPr>
      <w:r>
        <w:rPr>
          <w:b/>
          <w:color w:val="0A2240"/>
          <w:sz w:val="21"/>
        </w:rPr>
        <w:t>Operating Expense Pass-Through</w:t>
      </w:r>
    </w:p>
    <w:p>
      <w:pPr>
        <w:spacing w:after="80"/>
        <w:ind w:left="0"/>
      </w:pPr>
      <w:r>
        <w:rPr>
          <w:color w:val="334155"/>
          <w:sz w:val="20"/>
        </w:rPr>
        <w:t>Operating costs (taxes, insurance, CAM) charged back to tenants under net leases.</w:t>
      </w:r>
    </w:p>
    <w:p>
      <w:pPr>
        <w:spacing w:before="120" w:after="20"/>
      </w:pPr>
      <w:r>
        <w:rPr>
          <w:b/>
          <w:color w:val="0A2240"/>
          <w:sz w:val="21"/>
        </w:rPr>
        <w:t>OPEX Cap</w:t>
      </w:r>
    </w:p>
    <w:p>
      <w:pPr>
        <w:spacing w:after="80"/>
        <w:ind w:left="0"/>
      </w:pPr>
      <w:r>
        <w:rPr>
          <w:color w:val="334155"/>
          <w:sz w:val="20"/>
        </w:rPr>
        <w:t>A lease provision limiting how much operating expenses can rise year-over-year for the tenant.</w:t>
      </w:r>
    </w:p>
    <w:p>
      <w:pPr>
        <w:spacing w:before="120" w:after="20"/>
      </w:pPr>
      <w:r>
        <w:rPr>
          <w:b/>
          <w:color w:val="0A2240"/>
          <w:sz w:val="21"/>
        </w:rPr>
        <w:t>Pass-Through Expenses</w:t>
      </w:r>
    </w:p>
    <w:p>
      <w:pPr>
        <w:spacing w:after="80"/>
        <w:ind w:left="0"/>
      </w:pPr>
      <w:r>
        <w:rPr>
          <w:color w:val="334155"/>
          <w:sz w:val="20"/>
        </w:rPr>
        <w:t>Operating costs the landlord bills back to tenants under net or modified-gross leases.</w:t>
      </w:r>
    </w:p>
    <w:p>
      <w:pPr>
        <w:spacing w:before="120" w:after="20"/>
      </w:pPr>
      <w:r>
        <w:rPr>
          <w:b/>
          <w:color w:val="0A2240"/>
          <w:sz w:val="21"/>
        </w:rPr>
        <w:t>Rentable vs. Usable Square Feet</w:t>
      </w:r>
    </w:p>
    <w:p>
      <w:pPr>
        <w:spacing w:after="80"/>
        <w:ind w:left="0"/>
      </w:pPr>
      <w:r>
        <w:rPr>
          <w:color w:val="334155"/>
          <w:sz w:val="20"/>
        </w:rPr>
        <w:t>Rentable includes a share of common areas; usable is only the tenant's space.</w:t>
      </w:r>
    </w:p>
    <w:p>
      <w:pPr>
        <w:spacing w:before="120" w:after="20"/>
      </w:pPr>
      <w:r>
        <w:rPr>
          <w:b/>
          <w:color w:val="0A2240"/>
          <w:sz w:val="21"/>
        </w:rPr>
        <w:t>Right of First Offer (ROFO)</w:t>
      </w:r>
    </w:p>
    <w:p>
      <w:pPr>
        <w:spacing w:after="80"/>
        <w:ind w:left="0"/>
      </w:pPr>
      <w:r>
        <w:rPr>
          <w:color w:val="334155"/>
          <w:sz w:val="20"/>
        </w:rPr>
        <w:t>A right requiring the owner to offer space to a party before listing it publicly.</w:t>
      </w:r>
    </w:p>
    <w:p>
      <w:pPr>
        <w:spacing w:before="120" w:after="20"/>
      </w:pPr>
      <w:r>
        <w:rPr>
          <w:b/>
          <w:color w:val="0A2240"/>
          <w:sz w:val="21"/>
        </w:rPr>
        <w:t>Right of First Refusal (ROFR)</w:t>
      </w:r>
    </w:p>
    <w:p>
      <w:pPr>
        <w:spacing w:after="80"/>
        <w:ind w:left="0"/>
      </w:pPr>
      <w:r>
        <w:rPr>
          <w:color w:val="334155"/>
          <w:sz w:val="20"/>
        </w:rPr>
        <w:t>A right giving a party first chance to buy or lease before the owner offers to others.</w:t>
      </w:r>
    </w:p>
    <w:p>
      <w:pPr>
        <w:spacing w:before="120" w:after="20"/>
      </w:pPr>
      <w:r>
        <w:rPr>
          <w:b/>
          <w:color w:val="0A2240"/>
          <w:sz w:val="21"/>
        </w:rPr>
        <w:t>Sale-Leaseback</w:t>
      </w:r>
    </w:p>
    <w:p>
      <w:pPr>
        <w:spacing w:after="80"/>
        <w:ind w:left="0"/>
      </w:pPr>
      <w:r>
        <w:rPr>
          <w:color w:val="334155"/>
          <w:sz w:val="20"/>
        </w:rPr>
        <w:t>A transaction where the owner sells a property and leases it back from the buyer.</w:t>
      </w:r>
    </w:p>
    <w:p>
      <w:pPr>
        <w:spacing w:before="120" w:after="20"/>
      </w:pPr>
      <w:r>
        <w:rPr>
          <w:b/>
          <w:color w:val="0A2240"/>
          <w:sz w:val="21"/>
        </w:rPr>
        <w:t>SNDA</w:t>
      </w:r>
    </w:p>
    <w:p>
      <w:pPr>
        <w:spacing w:after="80"/>
        <w:ind w:left="0"/>
      </w:pPr>
      <w:r>
        <w:rPr>
          <w:color w:val="334155"/>
          <w:sz w:val="20"/>
        </w:rPr>
        <w:t>Subordination, Non-Disturbance, and Attornment Agreement — protects tenant rights if a lender takes over.</w:t>
      </w:r>
    </w:p>
    <w:p>
      <w:pPr>
        <w:spacing w:before="120" w:after="20"/>
      </w:pPr>
      <w:r>
        <w:rPr>
          <w:b/>
          <w:color w:val="0A2240"/>
          <w:sz w:val="21"/>
        </w:rPr>
        <w:t>Tenant Allowance</w:t>
      </w:r>
    </w:p>
    <w:p>
      <w:pPr>
        <w:spacing w:after="80"/>
        <w:ind w:left="0"/>
      </w:pPr>
      <w:r>
        <w:rPr>
          <w:color w:val="334155"/>
          <w:sz w:val="20"/>
        </w:rPr>
        <w:t>Money a landlord provides for tenant build-out, separate from TI.</w:t>
      </w:r>
    </w:p>
    <w:p>
      <w:pPr>
        <w:spacing w:before="120" w:after="20"/>
      </w:pPr>
      <w:r>
        <w:rPr>
          <w:b/>
          <w:color w:val="0A2240"/>
          <w:sz w:val="21"/>
        </w:rPr>
        <w:t>TI Buildout</w:t>
      </w:r>
    </w:p>
    <w:p>
      <w:pPr>
        <w:spacing w:after="80"/>
        <w:ind w:left="0"/>
      </w:pPr>
      <w:r>
        <w:rPr>
          <w:color w:val="334155"/>
          <w:sz w:val="20"/>
        </w:rPr>
        <w:t>The construction work to prepare a leased commercial space for tenant occupancy.</w:t>
      </w:r>
    </w:p>
    <w:p>
      <w:pPr>
        <w:spacing w:before="120" w:after="20"/>
      </w:pPr>
      <w:r>
        <w:rPr>
          <w:b/>
          <w:color w:val="0A2240"/>
          <w:sz w:val="21"/>
        </w:rPr>
        <w:t>Triple Net Plus Roof</w:t>
      </w:r>
    </w:p>
    <w:p>
      <w:pPr>
        <w:spacing w:after="80"/>
        <w:ind w:left="0"/>
      </w:pPr>
      <w:r>
        <w:rPr>
          <w:color w:val="334155"/>
          <w:sz w:val="20"/>
        </w:rPr>
        <w:t>A NNN lease where the tenant is responsible for roof maintenance as well.</w:t>
      </w:r>
    </w:p>
    <w:p>
      <w:pPr>
        <w:spacing w:before="120" w:after="20"/>
      </w:pPr>
      <w:r>
        <w:rPr>
          <w:b/>
          <w:color w:val="0A2240"/>
          <w:sz w:val="21"/>
        </w:rPr>
        <w:t>Turn-Key Buildout</w:t>
      </w:r>
    </w:p>
    <w:p>
      <w:pPr>
        <w:spacing w:after="80"/>
        <w:ind w:left="0"/>
      </w:pPr>
      <w:r>
        <w:rPr>
          <w:color w:val="334155"/>
          <w:sz w:val="20"/>
        </w:rPr>
        <w:t>Landlord delivers space fully built out to tenant specifications before move-in.</w:t>
      </w:r>
    </w:p>
    <w:p>
      <w:pPr>
        <w:spacing w:before="120" w:after="20"/>
      </w:pPr>
      <w:r>
        <w:rPr>
          <w:b/>
          <w:color w:val="0A2240"/>
          <w:sz w:val="21"/>
        </w:rPr>
        <w:t>Warm Shell</w:t>
      </w:r>
    </w:p>
    <w:p>
      <w:pPr>
        <w:spacing w:after="80"/>
        <w:ind w:left="0"/>
      </w:pPr>
      <w:r>
        <w:rPr>
          <w:color w:val="334155"/>
          <w:sz w:val="20"/>
        </w:rPr>
        <w:t>A leased space with MEP systems installed but no interior finishes.</w:t>
      </w:r>
    </w:p>
    <w:p>
      <w:r>
        <w:rPr>
          <w:b/>
          <w:color w:val="B22234"/>
          <w:sz w:val="28"/>
        </w:rPr>
        <w:t>Construction &amp; Development</w:t>
      </w:r>
    </w:p>
    <w:p>
      <w:pPr>
        <w:spacing w:before="120" w:after="20"/>
      </w:pPr>
      <w:r>
        <w:rPr>
          <w:b/>
          <w:color w:val="0A2240"/>
          <w:sz w:val="21"/>
        </w:rPr>
        <w:t>Adaptive Reuse</w:t>
      </w:r>
    </w:p>
    <w:p>
      <w:pPr>
        <w:spacing w:after="80"/>
        <w:ind w:left="0"/>
      </w:pPr>
      <w:r>
        <w:rPr>
          <w:color w:val="334155"/>
          <w:sz w:val="20"/>
        </w:rPr>
        <w:t>Converting an existing building to a new use — e.g., warehouse to lofts.</w:t>
      </w:r>
    </w:p>
    <w:p>
      <w:pPr>
        <w:spacing w:before="120" w:after="20"/>
      </w:pPr>
      <w:r>
        <w:rPr>
          <w:b/>
          <w:color w:val="0A2240"/>
          <w:sz w:val="21"/>
        </w:rPr>
        <w:t>Bidding</w:t>
      </w:r>
    </w:p>
    <w:p>
      <w:pPr>
        <w:spacing w:after="80"/>
        <w:ind w:left="0"/>
      </w:pPr>
      <w:r>
        <w:rPr>
          <w:color w:val="334155"/>
          <w:sz w:val="20"/>
        </w:rPr>
        <w:t>The process by which contractors submit price proposals for a defined scope of work.</w:t>
      </w:r>
    </w:p>
    <w:p>
      <w:pPr>
        <w:spacing w:before="120" w:after="20"/>
      </w:pPr>
      <w:r>
        <w:rPr>
          <w:b/>
          <w:color w:val="0A2240"/>
          <w:sz w:val="21"/>
        </w:rPr>
        <w:t>Brownfield Site</w:t>
      </w:r>
    </w:p>
    <w:p>
      <w:pPr>
        <w:spacing w:after="80"/>
        <w:ind w:left="0"/>
      </w:pPr>
      <w:r>
        <w:rPr>
          <w:color w:val="334155"/>
          <w:sz w:val="20"/>
        </w:rPr>
        <w:t>Land previously developed and possibly contaminated, often requiring remediation.</w:t>
      </w:r>
    </w:p>
    <w:p>
      <w:pPr>
        <w:spacing w:before="120" w:after="20"/>
      </w:pPr>
      <w:r>
        <w:rPr>
          <w:b/>
          <w:color w:val="0A2240"/>
          <w:sz w:val="21"/>
        </w:rPr>
        <w:t>Certificate of Occupancy (CO)</w:t>
      </w:r>
    </w:p>
    <w:p>
      <w:pPr>
        <w:spacing w:after="80"/>
        <w:ind w:left="0"/>
      </w:pPr>
      <w:r>
        <w:rPr>
          <w:color w:val="334155"/>
          <w:sz w:val="20"/>
        </w:rPr>
        <w:t>A local government document certifying a building is safe and ready for occupancy.</w:t>
      </w:r>
    </w:p>
    <w:p>
      <w:pPr>
        <w:spacing w:before="120" w:after="20"/>
      </w:pPr>
      <w:r>
        <w:rPr>
          <w:b/>
          <w:color w:val="0A2240"/>
          <w:sz w:val="21"/>
        </w:rPr>
        <w:t>Change Order</w:t>
      </w:r>
    </w:p>
    <w:p>
      <w:pPr>
        <w:spacing w:after="80"/>
        <w:ind w:left="0"/>
      </w:pPr>
      <w:r>
        <w:rPr>
          <w:color w:val="334155"/>
          <w:sz w:val="20"/>
        </w:rPr>
        <w:t>A modification to the original construction contract, often with cost and schedule impacts.</w:t>
      </w:r>
    </w:p>
    <w:p>
      <w:pPr>
        <w:spacing w:before="120" w:after="20"/>
      </w:pPr>
      <w:r>
        <w:rPr>
          <w:b/>
          <w:color w:val="0A2240"/>
          <w:sz w:val="21"/>
        </w:rPr>
        <w:t>Construction Loan</w:t>
      </w:r>
    </w:p>
    <w:p>
      <w:pPr>
        <w:spacing w:after="80"/>
        <w:ind w:left="0"/>
      </w:pPr>
      <w:r>
        <w:rPr>
          <w:color w:val="334155"/>
          <w:sz w:val="20"/>
        </w:rPr>
        <w:t>Short-term financing used to build a structure, typically converted to a permanent loan upon completion.</w:t>
      </w:r>
    </w:p>
    <w:p>
      <w:pPr>
        <w:spacing w:before="120" w:after="20"/>
      </w:pPr>
      <w:r>
        <w:rPr>
          <w:b/>
          <w:color w:val="0A2240"/>
          <w:sz w:val="21"/>
        </w:rPr>
        <w:t>Cost-Plus Contract</w:t>
      </w:r>
    </w:p>
    <w:p>
      <w:pPr>
        <w:spacing w:after="80"/>
        <w:ind w:left="0"/>
      </w:pPr>
      <w:r>
        <w:rPr>
          <w:color w:val="334155"/>
          <w:sz w:val="20"/>
        </w:rPr>
        <w:t>Contractor is paid actual costs plus a markup or fee.</w:t>
      </w:r>
    </w:p>
    <w:p>
      <w:pPr>
        <w:spacing w:before="120" w:after="20"/>
      </w:pPr>
      <w:r>
        <w:rPr>
          <w:b/>
          <w:color w:val="0A2240"/>
          <w:sz w:val="21"/>
        </w:rPr>
        <w:t>Critical Path</w:t>
      </w:r>
    </w:p>
    <w:p>
      <w:pPr>
        <w:spacing w:after="80"/>
        <w:ind w:left="0"/>
      </w:pPr>
      <w:r>
        <w:rPr>
          <w:color w:val="334155"/>
          <w:sz w:val="20"/>
        </w:rPr>
        <w:t>The longest sequence of tasks that determines a project's minimum duration.</w:t>
      </w:r>
    </w:p>
    <w:p>
      <w:pPr>
        <w:spacing w:before="120" w:after="20"/>
      </w:pPr>
      <w:r>
        <w:rPr>
          <w:b/>
          <w:color w:val="0A2240"/>
          <w:sz w:val="21"/>
        </w:rPr>
        <w:t>Design Development (DD)</w:t>
      </w:r>
    </w:p>
    <w:p>
      <w:pPr>
        <w:spacing w:after="80"/>
        <w:ind w:left="0"/>
      </w:pPr>
      <w:r>
        <w:rPr>
          <w:color w:val="334155"/>
          <w:sz w:val="20"/>
        </w:rPr>
        <w:t>Mid-stage drawings refining materials, systems, and details.</w:t>
      </w:r>
    </w:p>
    <w:p>
      <w:pPr>
        <w:spacing w:before="120" w:after="20"/>
      </w:pPr>
      <w:r>
        <w:rPr>
          <w:b/>
          <w:color w:val="0A2240"/>
          <w:sz w:val="21"/>
        </w:rPr>
        <w:t>Entitlements</w:t>
      </w:r>
    </w:p>
    <w:p>
      <w:pPr>
        <w:spacing w:after="80"/>
        <w:ind w:left="0"/>
      </w:pPr>
      <w:r>
        <w:rPr>
          <w:color w:val="334155"/>
          <w:sz w:val="20"/>
        </w:rPr>
        <w:t>Government approvals (zoning, permits, density) that grant the right to develop a property.</w:t>
      </w:r>
    </w:p>
    <w:p>
      <w:pPr>
        <w:spacing w:before="120" w:after="20"/>
      </w:pPr>
      <w:r>
        <w:rPr>
          <w:b/>
          <w:color w:val="0A2240"/>
          <w:sz w:val="21"/>
        </w:rPr>
        <w:t>Feasibility Study</w:t>
      </w:r>
    </w:p>
    <w:p>
      <w:pPr>
        <w:spacing w:after="80"/>
        <w:ind w:left="0"/>
      </w:pPr>
      <w:r>
        <w:rPr>
          <w:color w:val="334155"/>
          <w:sz w:val="20"/>
        </w:rPr>
        <w:t>An analysis determining whether a proposed development is financially and physically viable.</w:t>
      </w:r>
    </w:p>
    <w:p>
      <w:pPr>
        <w:spacing w:before="120" w:after="20"/>
      </w:pPr>
      <w:r>
        <w:rPr>
          <w:b/>
          <w:color w:val="0A2240"/>
          <w:sz w:val="21"/>
        </w:rPr>
        <w:t>General Contractor (GC)</w:t>
      </w:r>
    </w:p>
    <w:p>
      <w:pPr>
        <w:spacing w:after="80"/>
        <w:ind w:left="0"/>
      </w:pPr>
      <w:r>
        <w:rPr>
          <w:color w:val="334155"/>
          <w:sz w:val="20"/>
        </w:rPr>
        <w:t>The lead contractor responsible for overseeing a construction project's day-to-day execution.</w:t>
      </w:r>
    </w:p>
    <w:p>
      <w:pPr>
        <w:spacing w:before="120" w:after="20"/>
      </w:pPr>
      <w:r>
        <w:rPr>
          <w:b/>
          <w:color w:val="0A2240"/>
          <w:sz w:val="21"/>
        </w:rPr>
        <w:t>GMP Contract</w:t>
      </w:r>
    </w:p>
    <w:p>
      <w:pPr>
        <w:spacing w:after="80"/>
        <w:ind w:left="0"/>
      </w:pPr>
      <w:r>
        <w:rPr>
          <w:color w:val="334155"/>
          <w:sz w:val="20"/>
        </w:rPr>
        <w:t>Guaranteed Maximum Price — contractor caps total cost regardless of overruns.</w:t>
      </w:r>
    </w:p>
    <w:p>
      <w:pPr>
        <w:spacing w:before="120" w:after="20"/>
      </w:pPr>
      <w:r>
        <w:rPr>
          <w:b/>
          <w:color w:val="0A2240"/>
          <w:sz w:val="21"/>
        </w:rPr>
        <w:t>Greenfield Development</w:t>
      </w:r>
    </w:p>
    <w:p>
      <w:pPr>
        <w:spacing w:after="80"/>
        <w:ind w:left="0"/>
      </w:pPr>
      <w:r>
        <w:rPr>
          <w:color w:val="334155"/>
          <w:sz w:val="20"/>
        </w:rPr>
        <w:t>Building on undeveloped land that has not previously been built upon.</w:t>
      </w:r>
    </w:p>
    <w:p>
      <w:pPr>
        <w:spacing w:before="120" w:after="20"/>
      </w:pPr>
      <w:r>
        <w:rPr>
          <w:b/>
          <w:color w:val="0A2240"/>
          <w:sz w:val="21"/>
        </w:rPr>
        <w:t>Hard Costs</w:t>
      </w:r>
    </w:p>
    <w:p>
      <w:pPr>
        <w:spacing w:after="80"/>
        <w:ind w:left="0"/>
      </w:pPr>
      <w:r>
        <w:rPr>
          <w:color w:val="334155"/>
          <w:sz w:val="20"/>
        </w:rPr>
        <w:t>Tangible construction expenses such as materials, labor, and site work.</w:t>
      </w:r>
    </w:p>
    <w:p>
      <w:pPr>
        <w:spacing w:before="120" w:after="20"/>
      </w:pPr>
      <w:r>
        <w:rPr>
          <w:b/>
          <w:color w:val="0A2240"/>
          <w:sz w:val="21"/>
        </w:rPr>
        <w:t>Hard Hat Tour</w:t>
      </w:r>
    </w:p>
    <w:p>
      <w:pPr>
        <w:spacing w:after="80"/>
        <w:ind w:left="0"/>
      </w:pPr>
      <w:r>
        <w:rPr>
          <w:color w:val="334155"/>
          <w:sz w:val="20"/>
        </w:rPr>
        <w:t>A construction site walkthrough for investors or buyers during the build.</w:t>
      </w:r>
    </w:p>
    <w:p>
      <w:pPr>
        <w:spacing w:before="120" w:after="20"/>
      </w:pPr>
      <w:r>
        <w:rPr>
          <w:b/>
          <w:color w:val="0A2240"/>
          <w:sz w:val="21"/>
        </w:rPr>
        <w:t>Highest and Best Use Analysis</w:t>
      </w:r>
    </w:p>
    <w:p>
      <w:pPr>
        <w:spacing w:after="80"/>
        <w:ind w:left="0"/>
      </w:pPr>
      <w:r>
        <w:rPr>
          <w:color w:val="334155"/>
          <w:sz w:val="20"/>
        </w:rPr>
        <w:t>Evaluating which legal use of a site would generate the greatest value.</w:t>
      </w:r>
    </w:p>
    <w:p>
      <w:pPr>
        <w:spacing w:before="120" w:after="20"/>
      </w:pPr>
      <w:r>
        <w:rPr>
          <w:b/>
          <w:color w:val="0A2240"/>
          <w:sz w:val="21"/>
        </w:rPr>
        <w:t>Horizontal Construction</w:t>
      </w:r>
    </w:p>
    <w:p>
      <w:pPr>
        <w:spacing w:after="80"/>
        <w:ind w:left="0"/>
      </w:pPr>
      <w:r>
        <w:rPr>
          <w:color w:val="334155"/>
          <w:sz w:val="20"/>
        </w:rPr>
        <w:t>Site work — grading, utilities, roads — preparing land for vertical construction.</w:t>
      </w:r>
    </w:p>
    <w:p>
      <w:pPr>
        <w:spacing w:before="120" w:after="20"/>
      </w:pPr>
      <w:r>
        <w:rPr>
          <w:b/>
          <w:color w:val="0A2240"/>
          <w:sz w:val="21"/>
        </w:rPr>
        <w:t>Land Banking</w:t>
      </w:r>
    </w:p>
    <w:p>
      <w:pPr>
        <w:spacing w:after="80"/>
        <w:ind w:left="0"/>
      </w:pPr>
      <w:r>
        <w:rPr>
          <w:color w:val="334155"/>
          <w:sz w:val="20"/>
        </w:rPr>
        <w:t>Holding land for future development or appreciation rather than current use.</w:t>
      </w:r>
    </w:p>
    <w:p>
      <w:pPr>
        <w:spacing w:before="120" w:after="20"/>
      </w:pPr>
      <w:r>
        <w:rPr>
          <w:b/>
          <w:color w:val="0A2240"/>
          <w:sz w:val="21"/>
        </w:rPr>
        <w:t>Liquidated Damages</w:t>
      </w:r>
    </w:p>
    <w:p>
      <w:pPr>
        <w:spacing w:after="80"/>
        <w:ind w:left="0"/>
      </w:pPr>
      <w:r>
        <w:rPr>
          <w:color w:val="334155"/>
          <w:sz w:val="20"/>
        </w:rPr>
        <w:t>Pre-agreed daily fees the contractor pays if a project finishes late.</w:t>
      </w:r>
    </w:p>
    <w:p>
      <w:pPr>
        <w:spacing w:before="120" w:after="20"/>
      </w:pPr>
      <w:r>
        <w:rPr>
          <w:b/>
          <w:color w:val="0A2240"/>
          <w:sz w:val="21"/>
        </w:rPr>
        <w:t>Lump-Sum Contract</w:t>
      </w:r>
    </w:p>
    <w:p>
      <w:pPr>
        <w:spacing w:after="80"/>
        <w:ind w:left="0"/>
      </w:pPr>
      <w:r>
        <w:rPr>
          <w:color w:val="334155"/>
          <w:sz w:val="20"/>
        </w:rPr>
        <w:t>A construction contract with a fixed price for a defined scope.</w:t>
      </w:r>
    </w:p>
    <w:p>
      <w:pPr>
        <w:spacing w:before="120" w:after="20"/>
      </w:pPr>
      <w:r>
        <w:rPr>
          <w:b/>
          <w:color w:val="0A2240"/>
          <w:sz w:val="21"/>
        </w:rPr>
        <w:t>Mechanic's Lien</w:t>
      </w:r>
    </w:p>
    <w:p>
      <w:pPr>
        <w:spacing w:after="80"/>
        <w:ind w:left="0"/>
      </w:pPr>
      <w:r>
        <w:rPr>
          <w:color w:val="334155"/>
          <w:sz w:val="20"/>
        </w:rPr>
        <w:t>A claim against property by contractors or suppliers for unpaid work.</w:t>
      </w:r>
    </w:p>
    <w:p>
      <w:pPr>
        <w:spacing w:before="120" w:after="20"/>
      </w:pPr>
      <w:r>
        <w:rPr>
          <w:b/>
          <w:color w:val="0A2240"/>
          <w:sz w:val="21"/>
        </w:rPr>
        <w:t>Owner's Representative</w:t>
      </w:r>
    </w:p>
    <w:p>
      <w:pPr>
        <w:spacing w:after="80"/>
        <w:ind w:left="0"/>
      </w:pPr>
      <w:r>
        <w:rPr>
          <w:color w:val="334155"/>
          <w:sz w:val="20"/>
        </w:rPr>
        <w:t>A consultant managing a construction project on behalf of the property owner.</w:t>
      </w:r>
    </w:p>
    <w:p>
      <w:pPr>
        <w:spacing w:before="120" w:after="20"/>
      </w:pPr>
      <w:r>
        <w:rPr>
          <w:b/>
          <w:color w:val="0A2240"/>
          <w:sz w:val="21"/>
        </w:rPr>
        <w:t>Payment Bond</w:t>
      </w:r>
    </w:p>
    <w:p>
      <w:pPr>
        <w:spacing w:after="80"/>
        <w:ind w:left="0"/>
      </w:pPr>
      <w:r>
        <w:rPr>
          <w:color w:val="334155"/>
          <w:sz w:val="20"/>
        </w:rPr>
        <w:t>A surety bond guaranteeing the contractor pays subcontractors and suppliers.</w:t>
      </w:r>
    </w:p>
    <w:p>
      <w:pPr>
        <w:spacing w:before="120" w:after="20"/>
      </w:pPr>
      <w:r>
        <w:rPr>
          <w:b/>
          <w:color w:val="0A2240"/>
          <w:sz w:val="21"/>
        </w:rPr>
        <w:t>Performance Bond</w:t>
      </w:r>
    </w:p>
    <w:p>
      <w:pPr>
        <w:spacing w:after="80"/>
        <w:ind w:left="0"/>
      </w:pPr>
      <w:r>
        <w:rPr>
          <w:color w:val="334155"/>
          <w:sz w:val="20"/>
        </w:rPr>
        <w:t>A surety bond guaranteeing the contractor finishes the project as agreed.</w:t>
      </w:r>
    </w:p>
    <w:p>
      <w:pPr>
        <w:spacing w:before="120" w:after="20"/>
      </w:pPr>
      <w:r>
        <w:rPr>
          <w:b/>
          <w:color w:val="0A2240"/>
          <w:sz w:val="21"/>
        </w:rPr>
        <w:t>Pre-Development</w:t>
      </w:r>
    </w:p>
    <w:p>
      <w:pPr>
        <w:spacing w:after="80"/>
        <w:ind w:left="0"/>
      </w:pPr>
      <w:r>
        <w:rPr>
          <w:color w:val="334155"/>
          <w:sz w:val="20"/>
        </w:rPr>
        <w:t>The phase of a project covering planning, design, entitlements, and financing setup.</w:t>
      </w:r>
    </w:p>
    <w:p>
      <w:pPr>
        <w:spacing w:before="120" w:after="20"/>
      </w:pPr>
      <w:r>
        <w:rPr>
          <w:b/>
          <w:color w:val="0A2240"/>
          <w:sz w:val="21"/>
        </w:rPr>
        <w:t>Pro Forma</w:t>
      </w:r>
    </w:p>
    <w:p>
      <w:pPr>
        <w:spacing w:after="80"/>
        <w:ind w:left="0"/>
      </w:pPr>
      <w:r>
        <w:rPr>
          <w:color w:val="334155"/>
          <w:sz w:val="20"/>
        </w:rPr>
        <w:t>A projection of a property's future income, expenses, and cash flows.</w:t>
      </w:r>
    </w:p>
    <w:p>
      <w:pPr>
        <w:spacing w:before="120" w:after="20"/>
      </w:pPr>
      <w:r>
        <w:rPr>
          <w:b/>
          <w:color w:val="0A2240"/>
          <w:sz w:val="21"/>
        </w:rPr>
        <w:t>Pro Forma Income Statement</w:t>
      </w:r>
    </w:p>
    <w:p>
      <w:pPr>
        <w:spacing w:after="80"/>
        <w:ind w:left="0"/>
      </w:pPr>
      <w:r>
        <w:rPr>
          <w:color w:val="334155"/>
          <w:sz w:val="20"/>
        </w:rPr>
        <w:t>A projected operating statement showing expected revenue and expenses post-construction.</w:t>
      </w:r>
    </w:p>
    <w:p>
      <w:pPr>
        <w:spacing w:before="120" w:after="20"/>
      </w:pPr>
      <w:r>
        <w:rPr>
          <w:b/>
          <w:color w:val="0A2240"/>
          <w:sz w:val="21"/>
        </w:rPr>
        <w:t>Punch List</w:t>
      </w:r>
    </w:p>
    <w:p>
      <w:pPr>
        <w:spacing w:after="80"/>
        <w:ind w:left="0"/>
      </w:pPr>
      <w:r>
        <w:rPr>
          <w:color w:val="334155"/>
          <w:sz w:val="20"/>
        </w:rPr>
        <w:t>A final list of small items to be completed or corrected before closeout.</w:t>
      </w:r>
    </w:p>
    <w:p>
      <w:pPr>
        <w:spacing w:before="120" w:after="20"/>
      </w:pPr>
      <w:r>
        <w:rPr>
          <w:b/>
          <w:color w:val="0A2240"/>
          <w:sz w:val="21"/>
        </w:rPr>
        <w:t>Punch List Walk</w:t>
      </w:r>
    </w:p>
    <w:p>
      <w:pPr>
        <w:spacing w:after="80"/>
        <w:ind w:left="0"/>
      </w:pPr>
      <w:r>
        <w:rPr>
          <w:color w:val="334155"/>
          <w:sz w:val="20"/>
        </w:rPr>
        <w:t>A pre-closing inspection identifying remaining items to be completed.</w:t>
      </w:r>
    </w:p>
    <w:p>
      <w:pPr>
        <w:spacing w:before="120" w:after="20"/>
      </w:pPr>
      <w:r>
        <w:rPr>
          <w:b/>
          <w:color w:val="0A2240"/>
          <w:sz w:val="21"/>
        </w:rPr>
        <w:t>Retainage</w:t>
      </w:r>
    </w:p>
    <w:p>
      <w:pPr>
        <w:spacing w:after="80"/>
        <w:ind w:left="0"/>
      </w:pPr>
      <w:r>
        <w:rPr>
          <w:color w:val="334155"/>
          <w:sz w:val="20"/>
        </w:rPr>
        <w:t>A portion of contractor payments withheld until project completion to ensure performance.</w:t>
      </w:r>
    </w:p>
    <w:p>
      <w:pPr>
        <w:spacing w:before="120" w:after="20"/>
      </w:pPr>
      <w:r>
        <w:rPr>
          <w:b/>
          <w:color w:val="0A2240"/>
          <w:sz w:val="21"/>
        </w:rPr>
        <w:t>RFP</w:t>
      </w:r>
    </w:p>
    <w:p>
      <w:pPr>
        <w:spacing w:after="80"/>
        <w:ind w:left="0"/>
      </w:pPr>
      <w:r>
        <w:rPr>
          <w:color w:val="334155"/>
          <w:sz w:val="20"/>
        </w:rPr>
        <w:t>Request for Proposal — invites contractors or design firms to bid on a project.</w:t>
      </w:r>
    </w:p>
    <w:p>
      <w:pPr>
        <w:spacing w:before="120" w:after="20"/>
      </w:pPr>
      <w:r>
        <w:rPr>
          <w:b/>
          <w:color w:val="0A2240"/>
          <w:sz w:val="21"/>
        </w:rPr>
        <w:t>RFQ</w:t>
      </w:r>
    </w:p>
    <w:p>
      <w:pPr>
        <w:spacing w:after="80"/>
        <w:ind w:left="0"/>
      </w:pPr>
      <w:r>
        <w:rPr>
          <w:color w:val="334155"/>
          <w:sz w:val="20"/>
        </w:rPr>
        <w:t>Request for Qualifications — solicits qualifications before formal proposals.</w:t>
      </w:r>
    </w:p>
    <w:p>
      <w:pPr>
        <w:spacing w:before="120" w:after="20"/>
      </w:pPr>
      <w:r>
        <w:rPr>
          <w:b/>
          <w:color w:val="0A2240"/>
          <w:sz w:val="21"/>
        </w:rPr>
        <w:t>Schematic Design (SD)</w:t>
      </w:r>
    </w:p>
    <w:p>
      <w:pPr>
        <w:spacing w:after="80"/>
        <w:ind w:left="0"/>
      </w:pPr>
      <w:r>
        <w:rPr>
          <w:color w:val="334155"/>
          <w:sz w:val="20"/>
        </w:rPr>
        <w:t>Early-stage architectural drawings showing the basic concept of a project.</w:t>
      </w:r>
    </w:p>
    <w:p>
      <w:pPr>
        <w:spacing w:before="120" w:after="20"/>
      </w:pPr>
      <w:r>
        <w:rPr>
          <w:b/>
          <w:color w:val="0A2240"/>
          <w:sz w:val="21"/>
        </w:rPr>
        <w:t>Site Plan</w:t>
      </w:r>
    </w:p>
    <w:p>
      <w:pPr>
        <w:spacing w:after="80"/>
        <w:ind w:left="0"/>
      </w:pPr>
      <w:r>
        <w:rPr>
          <w:color w:val="334155"/>
          <w:sz w:val="20"/>
        </w:rPr>
        <w:t>A scaled drawing showing how buildings, parking, and landscaping will be arranged on a parcel.</w:t>
      </w:r>
    </w:p>
    <w:p>
      <w:pPr>
        <w:spacing w:before="120" w:after="20"/>
      </w:pPr>
      <w:r>
        <w:rPr>
          <w:b/>
          <w:color w:val="0A2240"/>
          <w:sz w:val="21"/>
        </w:rPr>
        <w:t>Soft Costs</w:t>
      </w:r>
    </w:p>
    <w:p>
      <w:pPr>
        <w:spacing w:after="80"/>
        <w:ind w:left="0"/>
      </w:pPr>
      <w:r>
        <w:rPr>
          <w:color w:val="334155"/>
          <w:sz w:val="20"/>
        </w:rPr>
        <w:t>Indirect development expenses such as design, permits, legal fees, and financing costs.</w:t>
      </w:r>
    </w:p>
    <w:p>
      <w:pPr>
        <w:spacing w:before="120" w:after="20"/>
      </w:pPr>
      <w:r>
        <w:rPr>
          <w:b/>
          <w:color w:val="0A2240"/>
          <w:sz w:val="21"/>
        </w:rPr>
        <w:t>Specifications (Specs)</w:t>
      </w:r>
    </w:p>
    <w:p>
      <w:pPr>
        <w:spacing w:after="80"/>
        <w:ind w:left="0"/>
      </w:pPr>
      <w:r>
        <w:rPr>
          <w:color w:val="334155"/>
          <w:sz w:val="20"/>
        </w:rPr>
        <w:t>Detailed written descriptions of materials and quality standards in a project.</w:t>
      </w:r>
    </w:p>
    <w:p>
      <w:pPr>
        <w:spacing w:before="120" w:after="20"/>
      </w:pPr>
      <w:r>
        <w:rPr>
          <w:b/>
          <w:color w:val="0A2240"/>
          <w:sz w:val="21"/>
        </w:rPr>
        <w:t>Stabilization</w:t>
      </w:r>
    </w:p>
    <w:p>
      <w:pPr>
        <w:spacing w:after="80"/>
        <w:ind w:left="0"/>
      </w:pPr>
      <w:r>
        <w:rPr>
          <w:color w:val="334155"/>
          <w:sz w:val="20"/>
        </w:rPr>
        <w:t>The point when a newly built or repositioned property reaches steady-state occupancy and income.</w:t>
      </w:r>
    </w:p>
    <w:p>
      <w:pPr>
        <w:spacing w:before="120" w:after="20"/>
      </w:pPr>
      <w:r>
        <w:rPr>
          <w:b/>
          <w:color w:val="0A2240"/>
          <w:sz w:val="21"/>
        </w:rPr>
        <w:t>Stop Notice</w:t>
      </w:r>
    </w:p>
    <w:p>
      <w:pPr>
        <w:spacing w:after="80"/>
        <w:ind w:left="0"/>
      </w:pPr>
      <w:r>
        <w:rPr>
          <w:color w:val="334155"/>
          <w:sz w:val="20"/>
        </w:rPr>
        <w:t>A subcontractor's claim against project funds for unpaid work, separate from a lien.</w:t>
      </w:r>
    </w:p>
    <w:p>
      <w:pPr>
        <w:spacing w:before="120" w:after="20"/>
      </w:pPr>
      <w:r>
        <w:rPr>
          <w:b/>
          <w:color w:val="0A2240"/>
          <w:sz w:val="21"/>
        </w:rPr>
        <w:t>Subcontractor</w:t>
      </w:r>
    </w:p>
    <w:p>
      <w:pPr>
        <w:spacing w:after="80"/>
        <w:ind w:left="0"/>
      </w:pPr>
      <w:r>
        <w:rPr>
          <w:color w:val="334155"/>
          <w:sz w:val="20"/>
        </w:rPr>
        <w:t>A specialty contractor (electrical, plumbing, etc.) hired by the general contractor.</w:t>
      </w:r>
    </w:p>
    <w:p>
      <w:pPr>
        <w:spacing w:before="120" w:after="20"/>
      </w:pPr>
      <w:r>
        <w:rPr>
          <w:b/>
          <w:color w:val="0A2240"/>
          <w:sz w:val="21"/>
        </w:rPr>
        <w:t>Substantial Completion</w:t>
      </w:r>
    </w:p>
    <w:p>
      <w:pPr>
        <w:spacing w:after="80"/>
        <w:ind w:left="0"/>
      </w:pPr>
      <w:r>
        <w:rPr>
          <w:color w:val="334155"/>
          <w:sz w:val="20"/>
        </w:rPr>
        <w:t>The point at which a project is sufficiently complete to be used for its intended purpose.</w:t>
      </w:r>
    </w:p>
    <w:p>
      <w:pPr>
        <w:spacing w:before="120" w:after="20"/>
      </w:pPr>
      <w:r>
        <w:rPr>
          <w:b/>
          <w:color w:val="0A2240"/>
          <w:sz w:val="21"/>
        </w:rPr>
        <w:t>Surety Bond</w:t>
      </w:r>
    </w:p>
    <w:p>
      <w:pPr>
        <w:spacing w:after="80"/>
        <w:ind w:left="0"/>
      </w:pPr>
      <w:r>
        <w:rPr>
          <w:color w:val="334155"/>
          <w:sz w:val="20"/>
        </w:rPr>
        <w:t>A contractor's guarantee of project completion, backed by a third-party insurer.</w:t>
      </w:r>
    </w:p>
    <w:p>
      <w:pPr>
        <w:spacing w:before="120" w:after="20"/>
      </w:pPr>
      <w:r>
        <w:rPr>
          <w:b/>
          <w:color w:val="0A2240"/>
          <w:sz w:val="21"/>
        </w:rPr>
        <w:t>Time and Materials</w:t>
      </w:r>
    </w:p>
    <w:p>
      <w:pPr>
        <w:spacing w:after="80"/>
        <w:ind w:left="0"/>
      </w:pPr>
      <w:r>
        <w:rPr>
          <w:color w:val="334155"/>
          <w:sz w:val="20"/>
        </w:rPr>
        <w:t>Contractor billed for time worked plus materials at cost or markup.</w:t>
      </w:r>
    </w:p>
    <w:p>
      <w:pPr>
        <w:spacing w:before="120" w:after="20"/>
      </w:pPr>
      <w:r>
        <w:rPr>
          <w:b/>
          <w:color w:val="0A2240"/>
          <w:sz w:val="21"/>
        </w:rPr>
        <w:t>Vertical Construction</w:t>
      </w:r>
    </w:p>
    <w:p>
      <w:pPr>
        <w:spacing w:after="80"/>
        <w:ind w:left="0"/>
      </w:pPr>
      <w:r>
        <w:rPr>
          <w:color w:val="334155"/>
          <w:sz w:val="20"/>
        </w:rPr>
        <w:t>The actual building phase of construction — framing through finish work.</w:t>
      </w:r>
    </w:p>
    <w:p>
      <w:r>
        <w:rPr>
          <w:b/>
          <w:color w:val="B22234"/>
          <w:sz w:val="28"/>
        </w:rPr>
        <w:t>Finance &amp; Returns</w:t>
      </w:r>
    </w:p>
    <w:p>
      <w:pPr>
        <w:spacing w:before="120" w:after="20"/>
      </w:pPr>
      <w:r>
        <w:rPr>
          <w:b/>
          <w:color w:val="0A2240"/>
          <w:sz w:val="21"/>
        </w:rPr>
        <w:t>Annualized Return</w:t>
      </w:r>
    </w:p>
    <w:p>
      <w:pPr>
        <w:spacing w:after="80"/>
        <w:ind w:left="0"/>
      </w:pPr>
      <w:r>
        <w:rPr>
          <w:color w:val="334155"/>
          <w:sz w:val="20"/>
        </w:rPr>
        <w:t>Investment return expressed as an annual rate, smoothing multi-year periods.</w:t>
      </w:r>
    </w:p>
    <w:p>
      <w:pPr>
        <w:spacing w:before="120" w:after="20"/>
      </w:pPr>
      <w:r>
        <w:rPr>
          <w:b/>
          <w:color w:val="0A2240"/>
          <w:sz w:val="21"/>
        </w:rPr>
        <w:t>Beta</w:t>
      </w:r>
    </w:p>
    <w:p>
      <w:pPr>
        <w:spacing w:after="80"/>
        <w:ind w:left="0"/>
      </w:pPr>
      <w:r>
        <w:rPr>
          <w:color w:val="334155"/>
          <w:sz w:val="20"/>
        </w:rPr>
        <w:t>A measure of an investment's volatility relative to the broader market.</w:t>
      </w:r>
    </w:p>
    <w:p>
      <w:pPr>
        <w:spacing w:before="120" w:after="20"/>
      </w:pPr>
      <w:r>
        <w:rPr>
          <w:b/>
          <w:color w:val="0A2240"/>
          <w:sz w:val="21"/>
        </w:rPr>
        <w:t>Break-Even Ratio</w:t>
      </w:r>
    </w:p>
    <w:p>
      <w:pPr>
        <w:spacing w:after="80"/>
        <w:ind w:left="0"/>
      </w:pPr>
      <w:r>
        <w:rPr>
          <w:color w:val="334155"/>
          <w:sz w:val="20"/>
        </w:rPr>
        <w:t>Operating expenses plus debt service divided by gross income, the point at which a property covers its costs.</w:t>
      </w:r>
    </w:p>
    <w:p>
      <w:pPr>
        <w:spacing w:before="120" w:after="20"/>
      </w:pPr>
      <w:r>
        <w:rPr>
          <w:b/>
          <w:color w:val="0A2240"/>
          <w:sz w:val="21"/>
        </w:rPr>
        <w:t>Cap Rate</w:t>
      </w:r>
    </w:p>
    <w:p>
      <w:pPr>
        <w:spacing w:after="80"/>
        <w:ind w:left="0"/>
      </w:pPr>
      <w:r>
        <w:rPr>
          <w:color w:val="334155"/>
          <w:sz w:val="20"/>
        </w:rPr>
        <w:t>Net operating income divided by purchase price — a basic measure of unleveraged yield.</w:t>
      </w:r>
    </w:p>
    <w:p>
      <w:pPr>
        <w:spacing w:before="120" w:after="20"/>
      </w:pPr>
      <w:r>
        <w:rPr>
          <w:b/>
          <w:color w:val="0A2240"/>
          <w:sz w:val="21"/>
        </w:rPr>
        <w:t>Cash Flow</w:t>
      </w:r>
    </w:p>
    <w:p>
      <w:pPr>
        <w:spacing w:after="80"/>
        <w:ind w:left="0"/>
      </w:pPr>
      <w:r>
        <w:rPr>
          <w:color w:val="334155"/>
          <w:sz w:val="20"/>
        </w:rPr>
        <w:t>The net amount of cash moving in and out of a property, after operating expenses and debt service.</w:t>
      </w:r>
    </w:p>
    <w:p>
      <w:pPr>
        <w:spacing w:before="120" w:after="20"/>
      </w:pPr>
      <w:r>
        <w:rPr>
          <w:b/>
          <w:color w:val="0A2240"/>
          <w:sz w:val="21"/>
        </w:rPr>
        <w:t>Cash-on-Cash Return</w:t>
      </w:r>
    </w:p>
    <w:p>
      <w:pPr>
        <w:spacing w:after="80"/>
        <w:ind w:left="0"/>
      </w:pPr>
      <w:r>
        <w:rPr>
          <w:color w:val="334155"/>
          <w:sz w:val="20"/>
        </w:rPr>
        <w:t>Annual pre-tax cash flow divided by total cash invested.</w:t>
      </w:r>
    </w:p>
    <w:p>
      <w:pPr>
        <w:spacing w:before="120" w:after="20"/>
      </w:pPr>
      <w:r>
        <w:rPr>
          <w:b/>
          <w:color w:val="0A2240"/>
          <w:sz w:val="21"/>
        </w:rPr>
        <w:t>Cumulative Return</w:t>
      </w:r>
    </w:p>
    <w:p>
      <w:pPr>
        <w:spacing w:after="80"/>
        <w:ind w:left="0"/>
      </w:pPr>
      <w:r>
        <w:rPr>
          <w:color w:val="334155"/>
          <w:sz w:val="20"/>
        </w:rPr>
        <w:t>Total return over an entire holding period without annualizing.</w:t>
      </w:r>
    </w:p>
    <w:p>
      <w:pPr>
        <w:spacing w:before="120" w:after="20"/>
      </w:pPr>
      <w:r>
        <w:rPr>
          <w:b/>
          <w:color w:val="0A2240"/>
          <w:sz w:val="21"/>
        </w:rPr>
        <w:t>Discount Rate</w:t>
      </w:r>
    </w:p>
    <w:p>
      <w:pPr>
        <w:spacing w:after="80"/>
        <w:ind w:left="0"/>
      </w:pPr>
      <w:r>
        <w:rPr>
          <w:color w:val="334155"/>
          <w:sz w:val="20"/>
        </w:rPr>
        <w:t>The interest rate used to discount future cash flows to present value.</w:t>
      </w:r>
    </w:p>
    <w:p>
      <w:pPr>
        <w:spacing w:before="120" w:after="20"/>
      </w:pPr>
      <w:r>
        <w:rPr>
          <w:b/>
          <w:color w:val="0A2240"/>
          <w:sz w:val="21"/>
        </w:rPr>
        <w:t>Discounted Cash Flow (DCF)</w:t>
      </w:r>
    </w:p>
    <w:p>
      <w:pPr>
        <w:spacing w:after="80"/>
        <w:ind w:left="0"/>
      </w:pPr>
      <w:r>
        <w:rPr>
          <w:color w:val="334155"/>
          <w:sz w:val="20"/>
        </w:rPr>
        <w:t>A valuation technique using projected cash flows discounted to present value.</w:t>
      </w:r>
    </w:p>
    <w:p>
      <w:pPr>
        <w:spacing w:before="120" w:after="20"/>
      </w:pPr>
      <w:r>
        <w:rPr>
          <w:b/>
          <w:color w:val="0A2240"/>
          <w:sz w:val="21"/>
        </w:rPr>
        <w:t>Distributable Cash</w:t>
      </w:r>
    </w:p>
    <w:p>
      <w:pPr>
        <w:spacing w:after="80"/>
        <w:ind w:left="0"/>
      </w:pPr>
      <w:r>
        <w:rPr>
          <w:color w:val="334155"/>
          <w:sz w:val="20"/>
        </w:rPr>
        <w:t>Cash available to pay investors after debt service and reserves.</w:t>
      </w:r>
    </w:p>
    <w:p>
      <w:pPr>
        <w:spacing w:before="120" w:after="20"/>
      </w:pPr>
      <w:r>
        <w:rPr>
          <w:b/>
          <w:color w:val="0A2240"/>
          <w:sz w:val="21"/>
        </w:rPr>
        <w:t>Distribution Frequency</w:t>
      </w:r>
    </w:p>
    <w:p>
      <w:pPr>
        <w:spacing w:after="80"/>
        <w:ind w:left="0"/>
      </w:pPr>
      <w:r>
        <w:rPr>
          <w:color w:val="334155"/>
          <w:sz w:val="20"/>
        </w:rPr>
        <w:t>How often (monthly, quarterly, annually) investors receive cash distributions.</w:t>
      </w:r>
    </w:p>
    <w:p>
      <w:pPr>
        <w:spacing w:before="120" w:after="20"/>
      </w:pPr>
      <w:r>
        <w:rPr>
          <w:b/>
          <w:color w:val="0A2240"/>
          <w:sz w:val="21"/>
        </w:rPr>
        <w:t>Effective Gross Income (EGI)</w:t>
      </w:r>
    </w:p>
    <w:p>
      <w:pPr>
        <w:spacing w:after="80"/>
        <w:ind w:left="0"/>
      </w:pPr>
      <w:r>
        <w:rPr>
          <w:color w:val="334155"/>
          <w:sz w:val="20"/>
        </w:rPr>
        <w:t>Gross potential income minus vacancy and credit losses, plus other income.</w:t>
      </w:r>
    </w:p>
    <w:p>
      <w:pPr>
        <w:spacing w:before="120" w:after="20"/>
      </w:pPr>
      <w:r>
        <w:rPr>
          <w:b/>
          <w:color w:val="0A2240"/>
          <w:sz w:val="21"/>
        </w:rPr>
        <w:t>Exit Cap Rate</w:t>
      </w:r>
    </w:p>
    <w:p>
      <w:pPr>
        <w:spacing w:after="80"/>
        <w:ind w:left="0"/>
      </w:pPr>
      <w:r>
        <w:rPr>
          <w:color w:val="334155"/>
          <w:sz w:val="20"/>
        </w:rPr>
        <w:t>The cap rate assumed at sale, used to estimate terminal value in projections.</w:t>
      </w:r>
    </w:p>
    <w:p>
      <w:pPr>
        <w:spacing w:before="120" w:after="20"/>
      </w:pPr>
      <w:r>
        <w:rPr>
          <w:b/>
          <w:color w:val="0A2240"/>
          <w:sz w:val="21"/>
        </w:rPr>
        <w:t>Free Cash Flow</w:t>
      </w:r>
    </w:p>
    <w:p>
      <w:pPr>
        <w:spacing w:after="80"/>
        <w:ind w:left="0"/>
      </w:pPr>
      <w:r>
        <w:rPr>
          <w:color w:val="334155"/>
          <w:sz w:val="20"/>
        </w:rPr>
        <w:t>Cash from operations minus capital expenditures — the cash truly available.</w:t>
      </w:r>
    </w:p>
    <w:p>
      <w:pPr>
        <w:spacing w:before="120" w:after="20"/>
      </w:pPr>
      <w:r>
        <w:rPr>
          <w:b/>
          <w:color w:val="0A2240"/>
          <w:sz w:val="21"/>
        </w:rPr>
        <w:t>Going-In Cap Rate</w:t>
      </w:r>
    </w:p>
    <w:p>
      <w:pPr>
        <w:spacing w:after="80"/>
        <w:ind w:left="0"/>
      </w:pPr>
      <w:r>
        <w:rPr>
          <w:color w:val="334155"/>
          <w:sz w:val="20"/>
        </w:rPr>
        <w:t>The cap rate at acquisition, based on Year 1 NOI and purchase price.</w:t>
      </w:r>
    </w:p>
    <w:p>
      <w:pPr>
        <w:spacing w:before="120" w:after="20"/>
      </w:pPr>
      <w:r>
        <w:rPr>
          <w:b/>
          <w:color w:val="0A2240"/>
          <w:sz w:val="21"/>
        </w:rPr>
        <w:t>Hurdle Rate</w:t>
      </w:r>
    </w:p>
    <w:p>
      <w:pPr>
        <w:spacing w:after="80"/>
        <w:ind w:left="0"/>
      </w:pPr>
      <w:r>
        <w:rPr>
          <w:color w:val="334155"/>
          <w:sz w:val="20"/>
        </w:rPr>
        <w:t>The minimum acceptable rate of return for an investment to proceed.</w:t>
      </w:r>
    </w:p>
    <w:p>
      <w:pPr>
        <w:spacing w:before="120" w:after="20"/>
      </w:pPr>
      <w:r>
        <w:rPr>
          <w:b/>
          <w:color w:val="0A2240"/>
          <w:sz w:val="21"/>
        </w:rPr>
        <w:t>Internal Rate of Return (IRR)</w:t>
      </w:r>
    </w:p>
    <w:p>
      <w:pPr>
        <w:spacing w:after="80"/>
        <w:ind w:left="0"/>
      </w:pPr>
      <w:r>
        <w:rPr>
          <w:color w:val="334155"/>
          <w:sz w:val="20"/>
        </w:rPr>
        <w:t>The annualized return that makes the net present value of all cash flows zero.</w:t>
      </w:r>
    </w:p>
    <w:p>
      <w:pPr>
        <w:spacing w:before="120" w:after="20"/>
      </w:pPr>
      <w:r>
        <w:rPr>
          <w:b/>
          <w:color w:val="0A2240"/>
          <w:sz w:val="21"/>
        </w:rPr>
        <w:t>Levered Cash-on-Cash</w:t>
      </w:r>
    </w:p>
    <w:p>
      <w:pPr>
        <w:spacing w:after="80"/>
        <w:ind w:left="0"/>
      </w:pPr>
      <w:r>
        <w:rPr>
          <w:color w:val="334155"/>
          <w:sz w:val="20"/>
        </w:rPr>
        <w:t>Annual cash flow after debt service divided by equity invested.</w:t>
      </w:r>
    </w:p>
    <w:p>
      <w:pPr>
        <w:spacing w:before="120" w:after="20"/>
      </w:pPr>
      <w:r>
        <w:rPr>
          <w:b/>
          <w:color w:val="0A2240"/>
          <w:sz w:val="21"/>
        </w:rPr>
        <w:t>Levered IRR</w:t>
      </w:r>
    </w:p>
    <w:p>
      <w:pPr>
        <w:spacing w:after="80"/>
        <w:ind w:left="0"/>
      </w:pPr>
      <w:r>
        <w:rPr>
          <w:color w:val="334155"/>
          <w:sz w:val="20"/>
        </w:rPr>
        <w:t>The IRR of an investment using debt financing, which can amplify returns and risk.</w:t>
      </w:r>
    </w:p>
    <w:p>
      <w:pPr>
        <w:spacing w:before="120" w:after="20"/>
      </w:pPr>
      <w:r>
        <w:rPr>
          <w:b/>
          <w:color w:val="0A2240"/>
          <w:sz w:val="21"/>
        </w:rPr>
        <w:t>Levered Yield on Cost</w:t>
      </w:r>
    </w:p>
    <w:p>
      <w:pPr>
        <w:spacing w:after="80"/>
        <w:ind w:left="0"/>
      </w:pPr>
      <w:r>
        <w:rPr>
          <w:color w:val="334155"/>
          <w:sz w:val="20"/>
        </w:rPr>
        <w:t>Stabilized NOI minus debt service divided by equity invested.</w:t>
      </w:r>
    </w:p>
    <w:p>
      <w:pPr>
        <w:spacing w:before="120" w:after="20"/>
      </w:pPr>
      <w:r>
        <w:rPr>
          <w:b/>
          <w:color w:val="0A2240"/>
          <w:sz w:val="21"/>
        </w:rPr>
        <w:t>Modified IRR (MIRR)</w:t>
      </w:r>
    </w:p>
    <w:p>
      <w:pPr>
        <w:spacing w:after="80"/>
        <w:ind w:left="0"/>
      </w:pPr>
      <w:r>
        <w:rPr>
          <w:color w:val="334155"/>
          <w:sz w:val="20"/>
        </w:rPr>
        <w:t>An IRR variant assuming a more realistic reinvestment rate for interim cash flows.</w:t>
      </w:r>
    </w:p>
    <w:p>
      <w:pPr>
        <w:spacing w:before="120" w:after="20"/>
      </w:pPr>
      <w:r>
        <w:rPr>
          <w:b/>
          <w:color w:val="0A2240"/>
          <w:sz w:val="21"/>
        </w:rPr>
        <w:t>Net Operating Income (NOI)</w:t>
      </w:r>
    </w:p>
    <w:p>
      <w:pPr>
        <w:spacing w:after="80"/>
        <w:ind w:left="0"/>
      </w:pPr>
      <w:r>
        <w:rPr>
          <w:color w:val="334155"/>
          <w:sz w:val="20"/>
        </w:rPr>
        <w:t>Gross income minus operating expenses, excluding debt service and capital expenditures.</w:t>
      </w:r>
    </w:p>
    <w:p>
      <w:pPr>
        <w:spacing w:before="120" w:after="20"/>
      </w:pPr>
      <w:r>
        <w:rPr>
          <w:b/>
          <w:color w:val="0A2240"/>
          <w:sz w:val="21"/>
        </w:rPr>
        <w:t>Net Present Value (NPV)</w:t>
      </w:r>
    </w:p>
    <w:p>
      <w:pPr>
        <w:spacing w:after="80"/>
        <w:ind w:left="0"/>
      </w:pPr>
      <w:r>
        <w:rPr>
          <w:color w:val="334155"/>
          <w:sz w:val="20"/>
        </w:rPr>
        <w:t>The present value of future cash flows minus the initial investment.</w:t>
      </w:r>
    </w:p>
    <w:p>
      <w:pPr>
        <w:spacing w:before="120" w:after="20"/>
      </w:pPr>
      <w:r>
        <w:rPr>
          <w:b/>
          <w:color w:val="0A2240"/>
          <w:sz w:val="21"/>
        </w:rPr>
        <w:t>Net Yield</w:t>
      </w:r>
    </w:p>
    <w:p>
      <w:pPr>
        <w:spacing w:after="80"/>
        <w:ind w:left="0"/>
      </w:pPr>
      <w:r>
        <w:rPr>
          <w:color w:val="334155"/>
          <w:sz w:val="20"/>
        </w:rPr>
        <w:t>Income after expenses divided by purchase price, expressed as a percentage.</w:t>
      </w:r>
    </w:p>
    <w:p>
      <w:pPr>
        <w:spacing w:before="120" w:after="20"/>
      </w:pPr>
      <w:r>
        <w:rPr>
          <w:b/>
          <w:color w:val="0A2240"/>
          <w:sz w:val="21"/>
        </w:rPr>
        <w:t>Operating Expense Ratio (OER)</w:t>
      </w:r>
    </w:p>
    <w:p>
      <w:pPr>
        <w:spacing w:after="80"/>
        <w:ind w:left="0"/>
      </w:pPr>
      <w:r>
        <w:rPr>
          <w:color w:val="334155"/>
          <w:sz w:val="20"/>
        </w:rPr>
        <w:t>Operating expenses divided by gross income, expressed as a percentage.</w:t>
      </w:r>
    </w:p>
    <w:p>
      <w:pPr>
        <w:spacing w:before="120" w:after="20"/>
      </w:pPr>
      <w:r>
        <w:rPr>
          <w:b/>
          <w:color w:val="0A2240"/>
          <w:sz w:val="21"/>
        </w:rPr>
        <w:t>Payback Period</w:t>
      </w:r>
    </w:p>
    <w:p>
      <w:pPr>
        <w:spacing w:after="80"/>
        <w:ind w:left="0"/>
      </w:pPr>
      <w:r>
        <w:rPr>
          <w:color w:val="334155"/>
          <w:sz w:val="20"/>
        </w:rPr>
        <w:t>The time required to recover the initial investment from cash flows.</w:t>
      </w:r>
    </w:p>
    <w:p>
      <w:pPr>
        <w:spacing w:before="120" w:after="20"/>
      </w:pPr>
      <w:r>
        <w:rPr>
          <w:b/>
          <w:color w:val="0A2240"/>
          <w:sz w:val="21"/>
        </w:rPr>
        <w:t>Real vs. Nominal Return</w:t>
      </w:r>
    </w:p>
    <w:p>
      <w:pPr>
        <w:spacing w:after="80"/>
        <w:ind w:left="0"/>
      </w:pPr>
      <w:r>
        <w:rPr>
          <w:color w:val="334155"/>
          <w:sz w:val="20"/>
        </w:rPr>
        <w:t>Real return is inflation-adjusted; nominal is the stated return.</w:t>
      </w:r>
    </w:p>
    <w:p>
      <w:pPr>
        <w:spacing w:before="120" w:after="20"/>
      </w:pPr>
      <w:r>
        <w:rPr>
          <w:b/>
          <w:color w:val="0A2240"/>
          <w:sz w:val="21"/>
        </w:rPr>
        <w:t>Risk Premium</w:t>
      </w:r>
    </w:p>
    <w:p>
      <w:pPr>
        <w:spacing w:after="80"/>
        <w:ind w:left="0"/>
      </w:pPr>
      <w:r>
        <w:rPr>
          <w:color w:val="334155"/>
          <w:sz w:val="20"/>
        </w:rPr>
        <w:t>Extra return above the risk-free rate to compensate for additional risk.</w:t>
      </w:r>
    </w:p>
    <w:p>
      <w:pPr>
        <w:spacing w:before="120" w:after="20"/>
      </w:pPr>
      <w:r>
        <w:rPr>
          <w:b/>
          <w:color w:val="0A2240"/>
          <w:sz w:val="21"/>
        </w:rPr>
        <w:t>Risk-Free Rate</w:t>
      </w:r>
    </w:p>
    <w:p>
      <w:pPr>
        <w:spacing w:after="80"/>
        <w:ind w:left="0"/>
      </w:pPr>
      <w:r>
        <w:rPr>
          <w:color w:val="334155"/>
          <w:sz w:val="20"/>
        </w:rPr>
        <w:t>The theoretical return on a no-risk investment, typically the 10-year Treasury yield.</w:t>
      </w:r>
    </w:p>
    <w:p>
      <w:pPr>
        <w:spacing w:before="120" w:after="20"/>
      </w:pPr>
      <w:r>
        <w:rPr>
          <w:b/>
          <w:color w:val="0A2240"/>
          <w:sz w:val="21"/>
        </w:rPr>
        <w:t>Sensitivity Analysis</w:t>
      </w:r>
    </w:p>
    <w:p>
      <w:pPr>
        <w:spacing w:after="80"/>
        <w:ind w:left="0"/>
      </w:pPr>
      <w:r>
        <w:rPr>
          <w:color w:val="334155"/>
          <w:sz w:val="20"/>
        </w:rPr>
        <w:t>Modeling how changes in key assumptions affect investment outcomes.</w:t>
      </w:r>
    </w:p>
    <w:p>
      <w:pPr>
        <w:spacing w:before="120" w:after="20"/>
      </w:pPr>
      <w:r>
        <w:rPr>
          <w:b/>
          <w:color w:val="0A2240"/>
          <w:sz w:val="21"/>
        </w:rPr>
        <w:t>Sharpe Ratio</w:t>
      </w:r>
    </w:p>
    <w:p>
      <w:pPr>
        <w:spacing w:after="80"/>
        <w:ind w:left="0"/>
      </w:pPr>
      <w:r>
        <w:rPr>
          <w:color w:val="334155"/>
          <w:sz w:val="20"/>
        </w:rPr>
        <w:t>A measure of risk-adjusted return — excess return divided by volatility.</w:t>
      </w:r>
    </w:p>
    <w:p>
      <w:pPr>
        <w:spacing w:before="120" w:after="20"/>
      </w:pPr>
      <w:r>
        <w:rPr>
          <w:b/>
          <w:color w:val="0A2240"/>
          <w:sz w:val="21"/>
        </w:rPr>
        <w:t>Standard Deviation</w:t>
      </w:r>
    </w:p>
    <w:p>
      <w:pPr>
        <w:spacing w:after="80"/>
        <w:ind w:left="0"/>
      </w:pPr>
      <w:r>
        <w:rPr>
          <w:color w:val="334155"/>
          <w:sz w:val="20"/>
        </w:rPr>
        <w:t>A statistical measure of how much returns vary from their average — a common volatility proxy.</w:t>
      </w:r>
    </w:p>
    <w:p>
      <w:pPr>
        <w:spacing w:before="120" w:after="20"/>
      </w:pPr>
      <w:r>
        <w:rPr>
          <w:b/>
          <w:color w:val="0A2240"/>
          <w:sz w:val="21"/>
        </w:rPr>
        <w:t>Terminal Value</w:t>
      </w:r>
    </w:p>
    <w:p>
      <w:pPr>
        <w:spacing w:after="80"/>
        <w:ind w:left="0"/>
      </w:pPr>
      <w:r>
        <w:rPr>
          <w:color w:val="334155"/>
          <w:sz w:val="20"/>
        </w:rPr>
        <w:t>The estimated value of a property at the end of a holding period in a DCF model.</w:t>
      </w:r>
    </w:p>
    <w:p>
      <w:pPr>
        <w:spacing w:before="120" w:after="20"/>
      </w:pPr>
      <w:r>
        <w:rPr>
          <w:b/>
          <w:color w:val="0A2240"/>
          <w:sz w:val="21"/>
        </w:rPr>
        <w:t>Time Value of Money</w:t>
      </w:r>
    </w:p>
    <w:p>
      <w:pPr>
        <w:spacing w:after="80"/>
        <w:ind w:left="0"/>
      </w:pPr>
      <w:r>
        <w:rPr>
          <w:color w:val="334155"/>
          <w:sz w:val="20"/>
        </w:rPr>
        <w:t>The concept that money available today is worth more than the same amount in the future.</w:t>
      </w:r>
    </w:p>
    <w:p>
      <w:pPr>
        <w:spacing w:before="120" w:after="20"/>
      </w:pPr>
      <w:r>
        <w:rPr>
          <w:b/>
          <w:color w:val="0A2240"/>
          <w:sz w:val="21"/>
        </w:rPr>
        <w:t>Unlevered IRR</w:t>
      </w:r>
    </w:p>
    <w:p>
      <w:pPr>
        <w:spacing w:after="80"/>
        <w:ind w:left="0"/>
      </w:pPr>
      <w:r>
        <w:rPr>
          <w:color w:val="334155"/>
          <w:sz w:val="20"/>
        </w:rPr>
        <w:t>The IRR of an investment without using debt — useful for comparing assets independent of capital structure.</w:t>
      </w:r>
    </w:p>
    <w:p>
      <w:pPr>
        <w:spacing w:before="120" w:after="20"/>
      </w:pPr>
      <w:r>
        <w:rPr>
          <w:b/>
          <w:color w:val="0A2240"/>
          <w:sz w:val="21"/>
        </w:rPr>
        <w:t>Yield on Cost</w:t>
      </w:r>
    </w:p>
    <w:p>
      <w:pPr>
        <w:spacing w:after="80"/>
        <w:ind w:left="0"/>
      </w:pPr>
      <w:r>
        <w:rPr>
          <w:color w:val="334155"/>
          <w:sz w:val="20"/>
        </w:rPr>
        <w:t>Projected stabilized NOI divided by total project cost, useful for value-add and development deals.</w:t>
      </w:r>
    </w:p>
    <w:p>
      <w:pPr>
        <w:spacing w:before="120" w:after="20"/>
      </w:pPr>
      <w:r>
        <w:rPr>
          <w:b/>
          <w:color w:val="0A2240"/>
          <w:sz w:val="21"/>
        </w:rPr>
        <w:t>Yield Spread</w:t>
      </w:r>
    </w:p>
    <w:p>
      <w:pPr>
        <w:spacing w:after="80"/>
        <w:ind w:left="0"/>
      </w:pPr>
      <w:r>
        <w:rPr>
          <w:color w:val="334155"/>
          <w:sz w:val="20"/>
        </w:rPr>
        <w:t>The difference between an investment's yield and a benchmark like Treasuries.</w:t>
      </w:r>
    </w:p>
    <w:p>
      <w:r>
        <w:rPr>
          <w:b/>
          <w:color w:val="B22234"/>
          <w:sz w:val="28"/>
        </w:rPr>
        <w:t>Foreclosure &amp; Distressed</w:t>
      </w:r>
    </w:p>
    <w:p>
      <w:pPr>
        <w:spacing w:before="120" w:after="20"/>
      </w:pPr>
      <w:r>
        <w:rPr>
          <w:b/>
          <w:color w:val="0A2240"/>
          <w:sz w:val="21"/>
        </w:rPr>
        <w:t>Acceleration</w:t>
      </w:r>
    </w:p>
    <w:p>
      <w:pPr>
        <w:spacing w:after="80"/>
        <w:ind w:left="0"/>
      </w:pPr>
      <w:r>
        <w:rPr>
          <w:color w:val="334155"/>
          <w:sz w:val="20"/>
        </w:rPr>
        <w:t>A lender's demand for the entire loan balance after default, kicking off foreclosure.</w:t>
      </w:r>
    </w:p>
    <w:p>
      <w:pPr>
        <w:spacing w:before="120" w:after="20"/>
      </w:pPr>
      <w:r>
        <w:rPr>
          <w:b/>
          <w:color w:val="0A2240"/>
          <w:sz w:val="21"/>
        </w:rPr>
        <w:t>Cash for Keys</w:t>
      </w:r>
    </w:p>
    <w:p>
      <w:pPr>
        <w:spacing w:after="80"/>
        <w:ind w:left="0"/>
      </w:pPr>
      <w:r>
        <w:rPr>
          <w:color w:val="334155"/>
          <w:sz w:val="20"/>
        </w:rPr>
        <w:t>A lender's offer to pay a defaulting owner or tenant to vacate cooperatively.</w:t>
      </w:r>
    </w:p>
    <w:p>
      <w:pPr>
        <w:spacing w:before="120" w:after="20"/>
      </w:pPr>
      <w:r>
        <w:rPr>
          <w:b/>
          <w:color w:val="0A2240"/>
          <w:sz w:val="21"/>
        </w:rPr>
        <w:t>Deed in Lieu</w:t>
      </w:r>
    </w:p>
    <w:p>
      <w:pPr>
        <w:spacing w:after="80"/>
        <w:ind w:left="0"/>
      </w:pPr>
      <w:r>
        <w:rPr>
          <w:color w:val="334155"/>
          <w:sz w:val="20"/>
        </w:rPr>
        <w:t>A voluntary transfer of property to the lender to avoid foreclosure.</w:t>
      </w:r>
    </w:p>
    <w:p>
      <w:pPr>
        <w:spacing w:before="120" w:after="20"/>
      </w:pPr>
      <w:r>
        <w:rPr>
          <w:b/>
          <w:color w:val="0A2240"/>
          <w:sz w:val="21"/>
        </w:rPr>
        <w:t>Deficiency Judgment</w:t>
      </w:r>
    </w:p>
    <w:p>
      <w:pPr>
        <w:spacing w:after="80"/>
        <w:ind w:left="0"/>
      </w:pPr>
      <w:r>
        <w:rPr>
          <w:color w:val="334155"/>
          <w:sz w:val="20"/>
        </w:rPr>
        <w:t>A court order making a borrower personally liable for the loan balance after foreclosure sale.</w:t>
      </w:r>
    </w:p>
    <w:p>
      <w:pPr>
        <w:spacing w:before="120" w:after="20"/>
      </w:pPr>
      <w:r>
        <w:rPr>
          <w:b/>
          <w:color w:val="0A2240"/>
          <w:sz w:val="21"/>
        </w:rPr>
        <w:t>Equity of Redemption</w:t>
      </w:r>
    </w:p>
    <w:p>
      <w:pPr>
        <w:spacing w:after="80"/>
        <w:ind w:left="0"/>
      </w:pPr>
      <w:r>
        <w:rPr>
          <w:color w:val="334155"/>
          <w:sz w:val="20"/>
        </w:rPr>
        <w:t>The borrower's right to cure default before foreclosure sale.</w:t>
      </w:r>
    </w:p>
    <w:p>
      <w:pPr>
        <w:spacing w:before="120" w:after="20"/>
      </w:pPr>
      <w:r>
        <w:rPr>
          <w:b/>
          <w:color w:val="0A2240"/>
          <w:sz w:val="21"/>
        </w:rPr>
        <w:t>Foreclosure</w:t>
      </w:r>
    </w:p>
    <w:p>
      <w:pPr>
        <w:spacing w:after="80"/>
        <w:ind w:left="0"/>
      </w:pPr>
      <w:r>
        <w:rPr>
          <w:color w:val="334155"/>
          <w:sz w:val="20"/>
        </w:rPr>
        <w:t>The legal process by which a lender takes ownership of a property after the borrower defaults.</w:t>
      </w:r>
    </w:p>
    <w:p>
      <w:pPr>
        <w:spacing w:before="120" w:after="20"/>
      </w:pPr>
      <w:r>
        <w:rPr>
          <w:b/>
          <w:color w:val="0A2240"/>
          <w:sz w:val="21"/>
        </w:rPr>
        <w:t>Judicial Foreclosure</w:t>
      </w:r>
    </w:p>
    <w:p>
      <w:pPr>
        <w:spacing w:after="80"/>
        <w:ind w:left="0"/>
      </w:pPr>
      <w:r>
        <w:rPr>
          <w:color w:val="334155"/>
          <w:sz w:val="20"/>
        </w:rPr>
        <w:t>A court-supervised foreclosure required in some states.</w:t>
      </w:r>
    </w:p>
    <w:p>
      <w:pPr>
        <w:spacing w:before="120" w:after="20"/>
      </w:pPr>
      <w:r>
        <w:rPr>
          <w:b/>
          <w:color w:val="0A2240"/>
          <w:sz w:val="21"/>
        </w:rPr>
        <w:t>Lender Owned</w:t>
      </w:r>
    </w:p>
    <w:p>
      <w:pPr>
        <w:spacing w:after="80"/>
        <w:ind w:left="0"/>
      </w:pPr>
      <w:r>
        <w:rPr>
          <w:color w:val="334155"/>
          <w:sz w:val="20"/>
        </w:rPr>
        <w:t>Another term for REO property — owned by the lender after foreclosure.</w:t>
      </w:r>
    </w:p>
    <w:p>
      <w:pPr>
        <w:spacing w:before="120" w:after="20"/>
      </w:pPr>
      <w:r>
        <w:rPr>
          <w:b/>
          <w:color w:val="0A2240"/>
          <w:sz w:val="21"/>
        </w:rPr>
        <w:t>Loss Mitigation</w:t>
      </w:r>
    </w:p>
    <w:p>
      <w:pPr>
        <w:spacing w:after="80"/>
        <w:ind w:left="0"/>
      </w:pPr>
      <w:r>
        <w:rPr>
          <w:color w:val="334155"/>
          <w:sz w:val="20"/>
        </w:rPr>
        <w:t>Lender programs aimed at avoiding foreclosure through modification, forbearance, or short sale.</w:t>
      </w:r>
    </w:p>
    <w:p>
      <w:pPr>
        <w:spacing w:before="120" w:after="20"/>
      </w:pPr>
      <w:r>
        <w:rPr>
          <w:b/>
          <w:color w:val="0A2240"/>
          <w:sz w:val="21"/>
        </w:rPr>
        <w:t>Mortgagee in Possession</w:t>
      </w:r>
    </w:p>
    <w:p>
      <w:pPr>
        <w:spacing w:after="80"/>
        <w:ind w:left="0"/>
      </w:pPr>
      <w:r>
        <w:rPr>
          <w:color w:val="334155"/>
          <w:sz w:val="20"/>
        </w:rPr>
        <w:t>A lender that takes physical control of a property before formal foreclosure.</w:t>
      </w:r>
    </w:p>
    <w:p>
      <w:pPr>
        <w:spacing w:before="120" w:after="20"/>
      </w:pPr>
      <w:r>
        <w:rPr>
          <w:b/>
          <w:color w:val="0A2240"/>
          <w:sz w:val="21"/>
        </w:rPr>
        <w:t>Non-Judicial Foreclosure</w:t>
      </w:r>
    </w:p>
    <w:p>
      <w:pPr>
        <w:spacing w:after="80"/>
        <w:ind w:left="0"/>
      </w:pPr>
      <w:r>
        <w:rPr>
          <w:color w:val="334155"/>
          <w:sz w:val="20"/>
        </w:rPr>
        <w:t>A foreclosure done outside court using a power-of-sale clause in the trust deed.</w:t>
      </w:r>
    </w:p>
    <w:p>
      <w:pPr>
        <w:spacing w:before="120" w:after="20"/>
      </w:pPr>
      <w:r>
        <w:rPr>
          <w:b/>
          <w:color w:val="0A2240"/>
          <w:sz w:val="21"/>
        </w:rPr>
        <w:t>Notice of Default (NOD)</w:t>
      </w:r>
    </w:p>
    <w:p>
      <w:pPr>
        <w:spacing w:after="80"/>
        <w:ind w:left="0"/>
      </w:pPr>
      <w:r>
        <w:rPr>
          <w:color w:val="334155"/>
          <w:sz w:val="20"/>
        </w:rPr>
        <w:t>A public filing notifying a borrower of loan default and starting the foreclosure clock.</w:t>
      </w:r>
    </w:p>
    <w:p>
      <w:pPr>
        <w:spacing w:before="120" w:after="20"/>
      </w:pPr>
      <w:r>
        <w:rPr>
          <w:b/>
          <w:color w:val="0A2240"/>
          <w:sz w:val="21"/>
        </w:rPr>
        <w:t>Power of Sale</w:t>
      </w:r>
    </w:p>
    <w:p>
      <w:pPr>
        <w:spacing w:after="80"/>
        <w:ind w:left="0"/>
      </w:pPr>
      <w:r>
        <w:rPr>
          <w:color w:val="334155"/>
          <w:sz w:val="20"/>
        </w:rPr>
        <w:t>A clause in trust deeds allowing non-judicial foreclosure without court involvement.</w:t>
      </w:r>
    </w:p>
    <w:p>
      <w:pPr>
        <w:spacing w:before="120" w:after="20"/>
      </w:pPr>
      <w:r>
        <w:rPr>
          <w:b/>
          <w:color w:val="0A2240"/>
          <w:sz w:val="21"/>
        </w:rPr>
        <w:t>Pre-Foreclosure</w:t>
      </w:r>
    </w:p>
    <w:p>
      <w:pPr>
        <w:spacing w:after="80"/>
        <w:ind w:left="0"/>
      </w:pPr>
      <w:r>
        <w:rPr>
          <w:color w:val="334155"/>
          <w:sz w:val="20"/>
        </w:rPr>
        <w:t>The period between default and foreclosure sale, when the owner may still sell or cure.</w:t>
      </w:r>
    </w:p>
    <w:p>
      <w:pPr>
        <w:spacing w:before="120" w:after="20"/>
      </w:pPr>
      <w:r>
        <w:rPr>
          <w:b/>
          <w:color w:val="0A2240"/>
          <w:sz w:val="21"/>
        </w:rPr>
        <w:t>Receiver</w:t>
      </w:r>
    </w:p>
    <w:p>
      <w:pPr>
        <w:spacing w:after="80"/>
        <w:ind w:left="0"/>
      </w:pPr>
      <w:r>
        <w:rPr>
          <w:color w:val="334155"/>
          <w:sz w:val="20"/>
        </w:rPr>
        <w:t>A court-appointed neutral party who manages a distressed property during litigation.</w:t>
      </w:r>
    </w:p>
    <w:p>
      <w:pPr>
        <w:spacing w:before="120" w:after="20"/>
      </w:pPr>
      <w:r>
        <w:rPr>
          <w:b/>
          <w:color w:val="0A2240"/>
          <w:sz w:val="21"/>
        </w:rPr>
        <w:t>Redemption Period</w:t>
      </w:r>
    </w:p>
    <w:p>
      <w:pPr>
        <w:spacing w:after="80"/>
        <w:ind w:left="0"/>
      </w:pPr>
      <w:r>
        <w:rPr>
          <w:color w:val="334155"/>
          <w:sz w:val="20"/>
        </w:rPr>
        <w:t>A statutory window after foreclosure when the borrower may reclaim the property by paying the debt.</w:t>
      </w:r>
    </w:p>
    <w:p>
      <w:pPr>
        <w:spacing w:before="120" w:after="20"/>
      </w:pPr>
      <w:r>
        <w:rPr>
          <w:b/>
          <w:color w:val="0A2240"/>
          <w:sz w:val="21"/>
        </w:rPr>
        <w:t>Reinstatement</w:t>
      </w:r>
    </w:p>
    <w:p>
      <w:pPr>
        <w:spacing w:after="80"/>
        <w:ind w:left="0"/>
      </w:pPr>
      <w:r>
        <w:rPr>
          <w:color w:val="334155"/>
          <w:sz w:val="20"/>
        </w:rPr>
        <w:t>Curing a default by paying past-due amounts plus fees to stop foreclosure.</w:t>
      </w:r>
    </w:p>
    <w:p>
      <w:pPr>
        <w:spacing w:before="120" w:after="20"/>
      </w:pPr>
      <w:r>
        <w:rPr>
          <w:b/>
          <w:color w:val="0A2240"/>
          <w:sz w:val="21"/>
        </w:rPr>
        <w:t>REO Property</w:t>
      </w:r>
    </w:p>
    <w:p>
      <w:pPr>
        <w:spacing w:after="80"/>
        <w:ind w:left="0"/>
      </w:pPr>
      <w:r>
        <w:rPr>
          <w:color w:val="334155"/>
          <w:sz w:val="20"/>
        </w:rPr>
        <w:t>Real Estate Owned — property the lender took back after an unsuccessful foreclosure auction.</w:t>
      </w:r>
    </w:p>
    <w:p>
      <w:pPr>
        <w:spacing w:before="120" w:after="20"/>
      </w:pPr>
      <w:r>
        <w:rPr>
          <w:b/>
          <w:color w:val="0A2240"/>
          <w:sz w:val="21"/>
        </w:rPr>
        <w:t>Right of Redemption</w:t>
      </w:r>
    </w:p>
    <w:p>
      <w:pPr>
        <w:spacing w:after="80"/>
        <w:ind w:left="0"/>
      </w:pPr>
      <w:r>
        <w:rPr>
          <w:color w:val="334155"/>
          <w:sz w:val="20"/>
        </w:rPr>
        <w:t>The borrower's statutory ability to redeem the property after foreclosure by paying the debt.</w:t>
      </w:r>
    </w:p>
    <w:p>
      <w:pPr>
        <w:spacing w:before="120" w:after="20"/>
      </w:pPr>
      <w:r>
        <w:rPr>
          <w:b/>
          <w:color w:val="0A2240"/>
          <w:sz w:val="21"/>
        </w:rPr>
        <w:t>Short Sale</w:t>
      </w:r>
    </w:p>
    <w:p>
      <w:pPr>
        <w:spacing w:after="80"/>
        <w:ind w:left="0"/>
      </w:pPr>
      <w:r>
        <w:rPr>
          <w:color w:val="334155"/>
          <w:sz w:val="20"/>
        </w:rPr>
        <w:t>A sale where the lender agrees to accept less than the loan balance to release the lien.</w:t>
      </w:r>
    </w:p>
    <w:p>
      <w:pPr>
        <w:spacing w:before="120" w:after="20"/>
      </w:pPr>
      <w:r>
        <w:rPr>
          <w:b/>
          <w:color w:val="0A2240"/>
          <w:sz w:val="21"/>
        </w:rPr>
        <w:t>Statutory Redemption</w:t>
      </w:r>
    </w:p>
    <w:p>
      <w:pPr>
        <w:spacing w:after="80"/>
        <w:ind w:left="0"/>
      </w:pPr>
      <w:r>
        <w:rPr>
          <w:color w:val="334155"/>
          <w:sz w:val="20"/>
        </w:rPr>
        <w:t>Redemption rights provided by state law after a foreclosure sale.</w:t>
      </w:r>
    </w:p>
    <w:p>
      <w:pPr>
        <w:spacing w:before="120" w:after="20"/>
      </w:pPr>
      <w:r>
        <w:rPr>
          <w:b/>
          <w:color w:val="0A2240"/>
          <w:sz w:val="21"/>
        </w:rPr>
        <w:t>Strict Foreclosure</w:t>
      </w:r>
    </w:p>
    <w:p>
      <w:pPr>
        <w:spacing w:after="80"/>
        <w:ind w:left="0"/>
      </w:pPr>
      <w:r>
        <w:rPr>
          <w:color w:val="334155"/>
          <w:sz w:val="20"/>
        </w:rPr>
        <w:t>A type of foreclosure in some states where the property goes directly to the lender without auction.</w:t>
      </w:r>
    </w:p>
    <w:p>
      <w:pPr>
        <w:spacing w:before="120" w:after="20"/>
      </w:pPr>
      <w:r>
        <w:rPr>
          <w:b/>
          <w:color w:val="0A2240"/>
          <w:sz w:val="21"/>
        </w:rPr>
        <w:t>Surplus Funds</w:t>
      </w:r>
    </w:p>
    <w:p>
      <w:pPr>
        <w:spacing w:after="80"/>
        <w:ind w:left="0"/>
      </w:pPr>
      <w:r>
        <w:rPr>
          <w:color w:val="334155"/>
          <w:sz w:val="20"/>
        </w:rPr>
        <w:t>Money left over after a foreclosure sale satisfies the loan, owed to the former owner.</w:t>
      </w:r>
    </w:p>
    <w:p>
      <w:pPr>
        <w:spacing w:before="120" w:after="20"/>
      </w:pPr>
      <w:r>
        <w:rPr>
          <w:b/>
          <w:color w:val="0A2240"/>
          <w:sz w:val="21"/>
        </w:rPr>
        <w:t>Trustee Sale</w:t>
      </w:r>
    </w:p>
    <w:p>
      <w:pPr>
        <w:spacing w:after="80"/>
        <w:ind w:left="0"/>
      </w:pPr>
      <w:r>
        <w:rPr>
          <w:color w:val="334155"/>
          <w:sz w:val="20"/>
        </w:rPr>
        <w:t>A public auction of foreclosed property conducted by a trustee.</w:t>
      </w:r>
    </w:p>
    <w:p>
      <w:r>
        <w:rPr>
          <w:b/>
          <w:color w:val="B22234"/>
          <w:sz w:val="28"/>
        </w:rPr>
        <w:t>Insurance &amp; Risk</w:t>
      </w:r>
    </w:p>
    <w:p>
      <w:pPr>
        <w:spacing w:before="120" w:after="20"/>
      </w:pPr>
      <w:r>
        <w:rPr>
          <w:b/>
          <w:color w:val="0A2240"/>
          <w:sz w:val="21"/>
        </w:rPr>
        <w:t>Actual Cash Value (ACV)</w:t>
      </w:r>
    </w:p>
    <w:p>
      <w:pPr>
        <w:spacing w:after="80"/>
        <w:ind w:left="0"/>
      </w:pPr>
      <w:r>
        <w:rPr>
          <w:color w:val="334155"/>
          <w:sz w:val="20"/>
        </w:rPr>
        <w:t>Replacement cost minus depreciation — what the property is worth today.</w:t>
      </w:r>
    </w:p>
    <w:p>
      <w:pPr>
        <w:spacing w:before="120" w:after="20"/>
      </w:pPr>
      <w:r>
        <w:rPr>
          <w:b/>
          <w:color w:val="0A2240"/>
          <w:sz w:val="21"/>
        </w:rPr>
        <w:t>All-Risk Policy</w:t>
      </w:r>
    </w:p>
    <w:p>
      <w:pPr>
        <w:spacing w:after="80"/>
        <w:ind w:left="0"/>
      </w:pPr>
      <w:r>
        <w:rPr>
          <w:color w:val="334155"/>
          <w:sz w:val="20"/>
        </w:rPr>
        <w:t>Insurance covering all risks except those specifically excluded.</w:t>
      </w:r>
    </w:p>
    <w:p>
      <w:pPr>
        <w:spacing w:before="120" w:after="20"/>
      </w:pPr>
      <w:r>
        <w:rPr>
          <w:b/>
          <w:color w:val="0A2240"/>
          <w:sz w:val="21"/>
        </w:rPr>
        <w:t>Builder's Risk Insurance</w:t>
      </w:r>
    </w:p>
    <w:p>
      <w:pPr>
        <w:spacing w:after="80"/>
        <w:ind w:left="0"/>
      </w:pPr>
      <w:r>
        <w:rPr>
          <w:color w:val="334155"/>
          <w:sz w:val="20"/>
        </w:rPr>
        <w:t>Coverage protecting a structure under construction from damage.</w:t>
      </w:r>
    </w:p>
    <w:p>
      <w:pPr>
        <w:spacing w:before="120" w:after="20"/>
      </w:pPr>
      <w:r>
        <w:rPr>
          <w:b/>
          <w:color w:val="0A2240"/>
          <w:sz w:val="21"/>
        </w:rPr>
        <w:t>Builders Risk Course of Construction</w:t>
      </w:r>
    </w:p>
    <w:p>
      <w:pPr>
        <w:spacing w:after="80"/>
        <w:ind w:left="0"/>
      </w:pPr>
      <w:r>
        <w:rPr>
          <w:color w:val="334155"/>
          <w:sz w:val="20"/>
        </w:rPr>
        <w:t>Coverage during the construction period for materials and work in progress.</w:t>
      </w:r>
    </w:p>
    <w:p>
      <w:pPr>
        <w:spacing w:before="120" w:after="20"/>
      </w:pPr>
      <w:r>
        <w:rPr>
          <w:b/>
          <w:color w:val="0A2240"/>
          <w:sz w:val="21"/>
        </w:rPr>
        <w:t>Captive Insurance</w:t>
      </w:r>
    </w:p>
    <w:p>
      <w:pPr>
        <w:spacing w:after="80"/>
        <w:ind w:left="0"/>
      </w:pPr>
      <w:r>
        <w:rPr>
          <w:color w:val="334155"/>
          <w:sz w:val="20"/>
        </w:rPr>
        <w:t>Self-insurance through a subsidiary insurance company owned by the insured.</w:t>
      </w:r>
    </w:p>
    <w:p>
      <w:pPr>
        <w:spacing w:before="120" w:after="20"/>
      </w:pPr>
      <w:r>
        <w:rPr>
          <w:b/>
          <w:color w:val="0A2240"/>
          <w:sz w:val="21"/>
        </w:rPr>
        <w:t>Coinsurance Penalty</w:t>
      </w:r>
    </w:p>
    <w:p>
      <w:pPr>
        <w:spacing w:after="80"/>
        <w:ind w:left="0"/>
      </w:pPr>
      <w:r>
        <w:rPr>
          <w:color w:val="334155"/>
          <w:sz w:val="20"/>
        </w:rPr>
        <w:t>A reduction in claim payment when a property is insured for less than its required percentage of value.</w:t>
      </w:r>
    </w:p>
    <w:p>
      <w:pPr>
        <w:spacing w:before="120" w:after="20"/>
      </w:pPr>
      <w:r>
        <w:rPr>
          <w:b/>
          <w:color w:val="0A2240"/>
          <w:sz w:val="21"/>
        </w:rPr>
        <w:t>Crime Insurance</w:t>
      </w:r>
    </w:p>
    <w:p>
      <w:pPr>
        <w:spacing w:after="80"/>
        <w:ind w:left="0"/>
      </w:pPr>
      <w:r>
        <w:rPr>
          <w:color w:val="334155"/>
          <w:sz w:val="20"/>
        </w:rPr>
        <w:t>Coverage for theft, fraud, or employee dishonesty.</w:t>
      </w:r>
    </w:p>
    <w:p>
      <w:pPr>
        <w:spacing w:before="120" w:after="20"/>
      </w:pPr>
      <w:r>
        <w:rPr>
          <w:b/>
          <w:color w:val="0A2240"/>
          <w:sz w:val="21"/>
        </w:rPr>
        <w:t>Cyber Liability</w:t>
      </w:r>
    </w:p>
    <w:p>
      <w:pPr>
        <w:spacing w:after="80"/>
        <w:ind w:left="0"/>
      </w:pPr>
      <w:r>
        <w:rPr>
          <w:color w:val="334155"/>
          <w:sz w:val="20"/>
        </w:rPr>
        <w:t>Insurance for data breaches and cyberattacks, increasingly required by lenders.</w:t>
      </w:r>
    </w:p>
    <w:p>
      <w:pPr>
        <w:spacing w:before="120" w:after="20"/>
      </w:pPr>
      <w:r>
        <w:rPr>
          <w:b/>
          <w:color w:val="0A2240"/>
          <w:sz w:val="21"/>
        </w:rPr>
        <w:t>D&amp;O Insurance</w:t>
      </w:r>
    </w:p>
    <w:p>
      <w:pPr>
        <w:spacing w:after="80"/>
        <w:ind w:left="0"/>
      </w:pPr>
      <w:r>
        <w:rPr>
          <w:color w:val="334155"/>
          <w:sz w:val="20"/>
        </w:rPr>
        <w:t>Directors and Officers insurance protecting executives from personal liability claims.</w:t>
      </w:r>
    </w:p>
    <w:p>
      <w:pPr>
        <w:spacing w:before="120" w:after="20"/>
      </w:pPr>
      <w:r>
        <w:rPr>
          <w:b/>
          <w:color w:val="0A2240"/>
          <w:sz w:val="21"/>
        </w:rPr>
        <w:t>Deductible</w:t>
      </w:r>
    </w:p>
    <w:p>
      <w:pPr>
        <w:spacing w:after="80"/>
        <w:ind w:left="0"/>
      </w:pPr>
      <w:r>
        <w:rPr>
          <w:color w:val="334155"/>
          <w:sz w:val="20"/>
        </w:rPr>
        <w:t>The amount the policyholder pays out of pocket before insurance coverage kicks in.</w:t>
      </w:r>
    </w:p>
    <w:p>
      <w:pPr>
        <w:spacing w:before="120" w:after="20"/>
      </w:pPr>
      <w:r>
        <w:rPr>
          <w:b/>
          <w:color w:val="0A2240"/>
          <w:sz w:val="21"/>
        </w:rPr>
        <w:t>Earthquake Insurance</w:t>
      </w:r>
    </w:p>
    <w:p>
      <w:pPr>
        <w:spacing w:after="80"/>
        <w:ind w:left="0"/>
      </w:pPr>
      <w:r>
        <w:rPr>
          <w:color w:val="334155"/>
          <w:sz w:val="20"/>
        </w:rPr>
        <w:t>Specialty coverage for earthquake damage, typically a separate policy.</w:t>
      </w:r>
    </w:p>
    <w:p>
      <w:pPr>
        <w:spacing w:before="120" w:after="20"/>
      </w:pPr>
      <w:r>
        <w:rPr>
          <w:b/>
          <w:color w:val="0A2240"/>
          <w:sz w:val="21"/>
        </w:rPr>
        <w:t>Endorsement</w:t>
      </w:r>
    </w:p>
    <w:p>
      <w:pPr>
        <w:spacing w:after="80"/>
        <w:ind w:left="0"/>
      </w:pPr>
      <w:r>
        <w:rPr>
          <w:color w:val="334155"/>
          <w:sz w:val="20"/>
        </w:rPr>
        <w:t>An amendment to an insurance policy adding or modifying coverage.</w:t>
      </w:r>
    </w:p>
    <w:p>
      <w:pPr>
        <w:spacing w:before="120" w:after="20"/>
      </w:pPr>
      <w:r>
        <w:rPr>
          <w:b/>
          <w:color w:val="0A2240"/>
          <w:sz w:val="21"/>
        </w:rPr>
        <w:t>Errors and Omissions (E&amp;O)</w:t>
      </w:r>
    </w:p>
    <w:p>
      <w:pPr>
        <w:spacing w:after="80"/>
        <w:ind w:left="0"/>
      </w:pPr>
      <w:r>
        <w:rPr>
          <w:color w:val="334155"/>
          <w:sz w:val="20"/>
        </w:rPr>
        <w:t>Professional liability insurance for real estate agents, brokers, and other service providers.</w:t>
      </w:r>
    </w:p>
    <w:p>
      <w:pPr>
        <w:spacing w:before="120" w:after="20"/>
      </w:pPr>
      <w:r>
        <w:rPr>
          <w:b/>
          <w:color w:val="0A2240"/>
          <w:sz w:val="21"/>
        </w:rPr>
        <w:t>Flood Insurance</w:t>
      </w:r>
    </w:p>
    <w:p>
      <w:pPr>
        <w:spacing w:after="80"/>
        <w:ind w:left="0"/>
      </w:pPr>
      <w:r>
        <w:rPr>
          <w:color w:val="334155"/>
          <w:sz w:val="20"/>
        </w:rPr>
        <w:t>A separate policy covering damage from flooding, required in FEMA-designated flood zones.</w:t>
      </w:r>
    </w:p>
    <w:p>
      <w:pPr>
        <w:spacing w:before="120" w:after="20"/>
      </w:pPr>
      <w:r>
        <w:rPr>
          <w:b/>
          <w:color w:val="0A2240"/>
          <w:sz w:val="21"/>
        </w:rPr>
        <w:t>General Liability Insurance</w:t>
      </w:r>
    </w:p>
    <w:p>
      <w:pPr>
        <w:spacing w:after="80"/>
        <w:ind w:left="0"/>
      </w:pPr>
      <w:r>
        <w:rPr>
          <w:color w:val="334155"/>
          <w:sz w:val="20"/>
        </w:rPr>
        <w:t>Protects property owners from third-party bodily injury and property damage claims.</w:t>
      </w:r>
    </w:p>
    <w:p>
      <w:pPr>
        <w:spacing w:before="120" w:after="20"/>
      </w:pPr>
      <w:r>
        <w:rPr>
          <w:b/>
          <w:color w:val="0A2240"/>
          <w:sz w:val="21"/>
        </w:rPr>
        <w:t>Homeowner's Insurance</w:t>
      </w:r>
    </w:p>
    <w:p>
      <w:pPr>
        <w:spacing w:after="80"/>
        <w:ind w:left="0"/>
      </w:pPr>
      <w:r>
        <w:rPr>
          <w:color w:val="334155"/>
          <w:sz w:val="20"/>
        </w:rPr>
        <w:t>Coverage protecting a home and personal property against losses from fire, theft, and liability.</w:t>
      </w:r>
    </w:p>
    <w:p>
      <w:pPr>
        <w:spacing w:before="120" w:after="20"/>
      </w:pPr>
      <w:r>
        <w:rPr>
          <w:b/>
          <w:color w:val="0A2240"/>
          <w:sz w:val="21"/>
        </w:rPr>
        <w:t>Inland Marine Insurance</w:t>
      </w:r>
    </w:p>
    <w:p>
      <w:pPr>
        <w:spacing w:after="80"/>
        <w:ind w:left="0"/>
      </w:pPr>
      <w:r>
        <w:rPr>
          <w:color w:val="334155"/>
          <w:sz w:val="20"/>
        </w:rPr>
        <w:t>Coverage for portable property and tools, often used by contractors.</w:t>
      </w:r>
    </w:p>
    <w:p>
      <w:pPr>
        <w:spacing w:before="120" w:after="20"/>
      </w:pPr>
      <w:r>
        <w:rPr>
          <w:b/>
          <w:color w:val="0A2240"/>
          <w:sz w:val="21"/>
        </w:rPr>
        <w:t>Landlord Insurance</w:t>
      </w:r>
    </w:p>
    <w:p>
      <w:pPr>
        <w:spacing w:after="80"/>
        <w:ind w:left="0"/>
      </w:pPr>
      <w:r>
        <w:rPr>
          <w:color w:val="334155"/>
          <w:sz w:val="20"/>
        </w:rPr>
        <w:t>Coverage for rental property owners, including liability and loss of rental income.</w:t>
      </w:r>
    </w:p>
    <w:p>
      <w:pPr>
        <w:spacing w:before="120" w:after="20"/>
      </w:pPr>
      <w:r>
        <w:rPr>
          <w:b/>
          <w:color w:val="0A2240"/>
          <w:sz w:val="21"/>
        </w:rPr>
        <w:t>Loss Run</w:t>
      </w:r>
    </w:p>
    <w:p>
      <w:pPr>
        <w:spacing w:after="80"/>
        <w:ind w:left="0"/>
      </w:pPr>
      <w:r>
        <w:rPr>
          <w:color w:val="334155"/>
          <w:sz w:val="20"/>
        </w:rPr>
        <w:t>An insurance carrier report showing a property's claims history.</w:t>
      </w:r>
    </w:p>
    <w:p>
      <w:pPr>
        <w:spacing w:before="120" w:after="20"/>
      </w:pPr>
      <w:r>
        <w:rPr>
          <w:b/>
          <w:color w:val="0A2240"/>
          <w:sz w:val="21"/>
        </w:rPr>
        <w:t>Loss-of-Rent Insurance</w:t>
      </w:r>
    </w:p>
    <w:p>
      <w:pPr>
        <w:spacing w:after="80"/>
        <w:ind w:left="0"/>
      </w:pPr>
      <w:r>
        <w:rPr>
          <w:color w:val="334155"/>
          <w:sz w:val="20"/>
        </w:rPr>
        <w:t>Coverage replacing rental income when a property is uninhabitable due to a covered loss.</w:t>
      </w:r>
    </w:p>
    <w:p>
      <w:pPr>
        <w:spacing w:before="120" w:after="20"/>
      </w:pPr>
      <w:r>
        <w:rPr>
          <w:b/>
          <w:color w:val="0A2240"/>
          <w:sz w:val="21"/>
        </w:rPr>
        <w:t>Named Peril Policy</w:t>
      </w:r>
    </w:p>
    <w:p>
      <w:pPr>
        <w:spacing w:after="80"/>
        <w:ind w:left="0"/>
      </w:pPr>
      <w:r>
        <w:rPr>
          <w:color w:val="334155"/>
          <w:sz w:val="20"/>
        </w:rPr>
        <w:t>Insurance covering only specific risks listed in the policy.</w:t>
      </w:r>
    </w:p>
    <w:p>
      <w:pPr>
        <w:spacing w:before="120" w:after="20"/>
      </w:pPr>
      <w:r>
        <w:rPr>
          <w:b/>
          <w:color w:val="0A2240"/>
          <w:sz w:val="21"/>
        </w:rPr>
        <w:t>Replacement Cost</w:t>
      </w:r>
    </w:p>
    <w:p>
      <w:pPr>
        <w:spacing w:after="80"/>
        <w:ind w:left="0"/>
      </w:pPr>
      <w:r>
        <w:rPr>
          <w:color w:val="334155"/>
          <w:sz w:val="20"/>
        </w:rPr>
        <w:t>The amount it would take to rebuild a structure with similar materials at current prices.</w:t>
      </w:r>
    </w:p>
    <w:p>
      <w:pPr>
        <w:spacing w:before="120" w:after="20"/>
      </w:pPr>
      <w:r>
        <w:rPr>
          <w:b/>
          <w:color w:val="0A2240"/>
          <w:sz w:val="21"/>
        </w:rPr>
        <w:t>Rider</w:t>
      </w:r>
    </w:p>
    <w:p>
      <w:pPr>
        <w:spacing w:after="80"/>
        <w:ind w:left="0"/>
      </w:pPr>
      <w:r>
        <w:rPr>
          <w:color w:val="334155"/>
          <w:sz w:val="20"/>
        </w:rPr>
        <w:t>Another term for endorsement — a written attachment changing policy terms.</w:t>
      </w:r>
    </w:p>
    <w:p>
      <w:pPr>
        <w:spacing w:before="120" w:after="20"/>
      </w:pPr>
      <w:r>
        <w:rPr>
          <w:b/>
          <w:color w:val="0A2240"/>
          <w:sz w:val="21"/>
        </w:rPr>
        <w:t>Sinkhole Insurance</w:t>
      </w:r>
    </w:p>
    <w:p>
      <w:pPr>
        <w:spacing w:after="80"/>
        <w:ind w:left="0"/>
      </w:pPr>
      <w:r>
        <w:rPr>
          <w:color w:val="334155"/>
          <w:sz w:val="20"/>
        </w:rPr>
        <w:t>Coverage for damage from collapsed land, common in Florida.</w:t>
      </w:r>
    </w:p>
    <w:p>
      <w:pPr>
        <w:spacing w:before="120" w:after="20"/>
      </w:pPr>
      <w:r>
        <w:rPr>
          <w:b/>
          <w:color w:val="0A2240"/>
          <w:sz w:val="21"/>
        </w:rPr>
        <w:t>Title Insurance (Owner's Policy)</w:t>
      </w:r>
    </w:p>
    <w:p>
      <w:pPr>
        <w:spacing w:after="80"/>
        <w:ind w:left="0"/>
      </w:pPr>
      <w:r>
        <w:rPr>
          <w:color w:val="334155"/>
          <w:sz w:val="20"/>
        </w:rPr>
        <w:t>Protects the buyer against losses from defects in title that existed before purchase.</w:t>
      </w:r>
    </w:p>
    <w:p>
      <w:pPr>
        <w:spacing w:before="120" w:after="20"/>
      </w:pPr>
      <w:r>
        <w:rPr>
          <w:b/>
          <w:color w:val="0A2240"/>
          <w:sz w:val="21"/>
        </w:rPr>
        <w:t>Umbrella Policy</w:t>
      </w:r>
    </w:p>
    <w:p>
      <w:pPr>
        <w:spacing w:after="80"/>
        <w:ind w:left="0"/>
      </w:pPr>
      <w:r>
        <w:rPr>
          <w:color w:val="334155"/>
          <w:sz w:val="20"/>
        </w:rPr>
        <w:t>Excess liability coverage above the limits of underlying property or auto policies.</w:t>
      </w:r>
    </w:p>
    <w:p>
      <w:pPr>
        <w:spacing w:before="120" w:after="20"/>
      </w:pPr>
      <w:r>
        <w:rPr>
          <w:b/>
          <w:color w:val="0A2240"/>
          <w:sz w:val="21"/>
        </w:rPr>
        <w:t>Vacant Property Insurance</w:t>
      </w:r>
    </w:p>
    <w:p>
      <w:pPr>
        <w:spacing w:after="80"/>
        <w:ind w:left="0"/>
      </w:pPr>
      <w:r>
        <w:rPr>
          <w:color w:val="334155"/>
          <w:sz w:val="20"/>
        </w:rPr>
        <w:t>Specialty coverage for unoccupied properties, often more expensive.</w:t>
      </w:r>
    </w:p>
    <w:p>
      <w:pPr>
        <w:spacing w:before="120" w:after="20"/>
      </w:pPr>
      <w:r>
        <w:rPr>
          <w:b/>
          <w:color w:val="0A2240"/>
          <w:sz w:val="21"/>
        </w:rPr>
        <w:t>Windstorm Insurance</w:t>
      </w:r>
    </w:p>
    <w:p>
      <w:pPr>
        <w:spacing w:after="80"/>
        <w:ind w:left="0"/>
      </w:pPr>
      <w:r>
        <w:rPr>
          <w:color w:val="334155"/>
          <w:sz w:val="20"/>
        </w:rPr>
        <w:t>Coverage for hurricane and tornado damage, often a separate policy in coastal states.</w:t>
      </w:r>
    </w:p>
    <w:p>
      <w:pPr>
        <w:spacing w:before="120" w:after="20"/>
      </w:pPr>
      <w:r>
        <w:rPr>
          <w:b/>
          <w:color w:val="0A2240"/>
          <w:sz w:val="21"/>
        </w:rPr>
        <w:t>Workers' Compensation</w:t>
      </w:r>
    </w:p>
    <w:p>
      <w:pPr>
        <w:spacing w:after="80"/>
        <w:ind w:left="0"/>
      </w:pPr>
      <w:r>
        <w:rPr>
          <w:color w:val="334155"/>
          <w:sz w:val="20"/>
        </w:rPr>
        <w:t>Insurance covering medical costs and lost wages for employees injured on the job.</w:t>
      </w:r>
    </w:p>
    <w:p>
      <w:r>
        <w:rPr>
          <w:b/>
          <w:color w:val="B22234"/>
          <w:sz w:val="28"/>
        </w:rPr>
        <w:t>Investment Strategies</w:t>
      </w:r>
    </w:p>
    <w:p>
      <w:pPr>
        <w:spacing w:before="120" w:after="20"/>
      </w:pPr>
      <w:r>
        <w:rPr>
          <w:b/>
          <w:color w:val="0A2240"/>
          <w:sz w:val="21"/>
        </w:rPr>
        <w:t>1% Rule</w:t>
      </w:r>
    </w:p>
    <w:p>
      <w:pPr>
        <w:spacing w:after="80"/>
        <w:ind w:left="0"/>
      </w:pPr>
      <w:r>
        <w:rPr>
          <w:color w:val="334155"/>
          <w:sz w:val="20"/>
        </w:rPr>
        <w:t>A screening guideline: monthly rent should equal at least 1% of purchase price for rentals.</w:t>
      </w:r>
    </w:p>
    <w:p>
      <w:pPr>
        <w:spacing w:before="120" w:after="20"/>
      </w:pPr>
      <w:r>
        <w:rPr>
          <w:b/>
          <w:color w:val="0A2240"/>
          <w:sz w:val="21"/>
        </w:rPr>
        <w:t>Asset Class Diversification</w:t>
      </w:r>
    </w:p>
    <w:p>
      <w:pPr>
        <w:spacing w:after="80"/>
        <w:ind w:left="0"/>
      </w:pPr>
      <w:r>
        <w:rPr>
          <w:color w:val="334155"/>
          <w:sz w:val="20"/>
        </w:rPr>
        <w:t>Holding different property types (multifamily, industrial, retail) to balance returns.</w:t>
      </w:r>
    </w:p>
    <w:p>
      <w:pPr>
        <w:spacing w:before="120" w:after="20"/>
      </w:pPr>
      <w:r>
        <w:rPr>
          <w:b/>
          <w:color w:val="0A2240"/>
          <w:sz w:val="21"/>
        </w:rPr>
        <w:t>BRRRR</w:t>
      </w:r>
    </w:p>
    <w:p>
      <w:pPr>
        <w:spacing w:after="80"/>
        <w:ind w:left="0"/>
      </w:pPr>
      <w:r>
        <w:rPr>
          <w:color w:val="334155"/>
          <w:sz w:val="20"/>
        </w:rPr>
        <w:t>Buy, Rehab, Rent, Refinance, Repeat — a strategy to recycle capital across multiple rentals.</w:t>
      </w:r>
    </w:p>
    <w:p>
      <w:pPr>
        <w:spacing w:before="120" w:after="20"/>
      </w:pPr>
      <w:r>
        <w:rPr>
          <w:b/>
          <w:color w:val="0A2240"/>
          <w:sz w:val="21"/>
        </w:rPr>
        <w:t>Buy and Hold</w:t>
      </w:r>
    </w:p>
    <w:p>
      <w:pPr>
        <w:spacing w:after="80"/>
        <w:ind w:left="0"/>
      </w:pPr>
      <w:r>
        <w:rPr>
          <w:color w:val="334155"/>
          <w:sz w:val="20"/>
        </w:rPr>
        <w:t>Acquiring property to hold long term for rental income and appreciation.</w:t>
      </w:r>
    </w:p>
    <w:p>
      <w:pPr>
        <w:spacing w:before="120" w:after="20"/>
      </w:pPr>
      <w:r>
        <w:rPr>
          <w:b/>
          <w:color w:val="0A2240"/>
          <w:sz w:val="21"/>
        </w:rPr>
        <w:t>Buy, Borrow, Die</w:t>
      </w:r>
    </w:p>
    <w:p>
      <w:pPr>
        <w:spacing w:after="80"/>
        <w:ind w:left="0"/>
      </w:pPr>
      <w:r>
        <w:rPr>
          <w:color w:val="334155"/>
          <w:sz w:val="20"/>
        </w:rPr>
        <w:t>A tax strategy of holding appreciating assets, borrowing against them, and passing them on with stepped-up basis.</w:t>
      </w:r>
    </w:p>
    <w:p>
      <w:pPr>
        <w:spacing w:before="120" w:after="20"/>
      </w:pPr>
      <w:r>
        <w:rPr>
          <w:b/>
          <w:color w:val="0A2240"/>
          <w:sz w:val="21"/>
        </w:rPr>
        <w:t>Cash Sweep</w:t>
      </w:r>
    </w:p>
    <w:p>
      <w:pPr>
        <w:spacing w:after="80"/>
        <w:ind w:left="0"/>
      </w:pPr>
      <w:r>
        <w:rPr>
          <w:color w:val="334155"/>
          <w:sz w:val="20"/>
        </w:rPr>
        <w:t>A provision directing excess cash flow to debt paydown or investor distributions.</w:t>
      </w:r>
    </w:p>
    <w:p>
      <w:pPr>
        <w:spacing w:before="120" w:after="20"/>
      </w:pPr>
      <w:r>
        <w:rPr>
          <w:b/>
          <w:color w:val="0A2240"/>
          <w:sz w:val="21"/>
        </w:rPr>
        <w:t>Core Investment</w:t>
      </w:r>
    </w:p>
    <w:p>
      <w:pPr>
        <w:spacing w:after="80"/>
        <w:ind w:left="0"/>
      </w:pPr>
      <w:r>
        <w:rPr>
          <w:color w:val="334155"/>
          <w:sz w:val="20"/>
        </w:rPr>
        <w:t>A high-quality, fully leased asset in a strong market — lowest risk, lowest expected return.</w:t>
      </w:r>
    </w:p>
    <w:p>
      <w:pPr>
        <w:spacing w:before="120" w:after="20"/>
      </w:pPr>
      <w:r>
        <w:rPr>
          <w:b/>
          <w:color w:val="0A2240"/>
          <w:sz w:val="21"/>
        </w:rPr>
        <w:t>Fix and Flip</w:t>
      </w:r>
    </w:p>
    <w:p>
      <w:pPr>
        <w:spacing w:after="80"/>
        <w:ind w:left="0"/>
      </w:pPr>
      <w:r>
        <w:rPr>
          <w:color w:val="334155"/>
          <w:sz w:val="20"/>
        </w:rPr>
        <w:t>Buying distressed property, renovating, and reselling quickly for a profit.</w:t>
      </w:r>
    </w:p>
    <w:p>
      <w:pPr>
        <w:spacing w:before="120" w:after="20"/>
      </w:pPr>
      <w:r>
        <w:rPr>
          <w:b/>
          <w:color w:val="0A2240"/>
          <w:sz w:val="21"/>
        </w:rPr>
        <w:t>Forced Appreciation</w:t>
      </w:r>
    </w:p>
    <w:p>
      <w:pPr>
        <w:spacing w:after="80"/>
        <w:ind w:left="0"/>
      </w:pPr>
      <w:r>
        <w:rPr>
          <w:color w:val="334155"/>
          <w:sz w:val="20"/>
        </w:rPr>
        <w:t>Increasing a property's value through improvements or operational gains, not market growth.</w:t>
      </w:r>
    </w:p>
    <w:p>
      <w:pPr>
        <w:spacing w:before="120" w:after="20"/>
      </w:pPr>
      <w:r>
        <w:rPr>
          <w:b/>
          <w:color w:val="0A2240"/>
          <w:sz w:val="21"/>
        </w:rPr>
        <w:t>Geographic Diversification</w:t>
      </w:r>
    </w:p>
    <w:p>
      <w:pPr>
        <w:spacing w:after="80"/>
        <w:ind w:left="0"/>
      </w:pPr>
      <w:r>
        <w:rPr>
          <w:color w:val="334155"/>
          <w:sz w:val="20"/>
        </w:rPr>
        <w:t>Spreading investments across different markets to reduce concentration risk.</w:t>
      </w:r>
    </w:p>
    <w:p>
      <w:pPr>
        <w:spacing w:before="120" w:after="20"/>
      </w:pPr>
      <w:r>
        <w:rPr>
          <w:b/>
          <w:color w:val="0A2240"/>
          <w:sz w:val="21"/>
        </w:rPr>
        <w:t>House Hacking</w:t>
      </w:r>
    </w:p>
    <w:p>
      <w:pPr>
        <w:spacing w:after="80"/>
        <w:ind w:left="0"/>
      </w:pPr>
      <w:r>
        <w:rPr>
          <w:color w:val="334155"/>
          <w:sz w:val="20"/>
        </w:rPr>
        <w:t>Living in part of a multi-unit property while renting out the rest to offset costs.</w:t>
      </w:r>
    </w:p>
    <w:p>
      <w:pPr>
        <w:spacing w:before="120" w:after="20"/>
      </w:pPr>
      <w:r>
        <w:rPr>
          <w:b/>
          <w:color w:val="0A2240"/>
          <w:sz w:val="21"/>
        </w:rPr>
        <w:t>Land Flipping</w:t>
      </w:r>
    </w:p>
    <w:p>
      <w:pPr>
        <w:spacing w:after="80"/>
        <w:ind w:left="0"/>
      </w:pPr>
      <w:r>
        <w:rPr>
          <w:color w:val="334155"/>
          <w:sz w:val="20"/>
        </w:rPr>
        <w:t>Buying raw land below market value and reselling at a markup.</w:t>
      </w:r>
    </w:p>
    <w:p>
      <w:pPr>
        <w:spacing w:before="120" w:after="20"/>
      </w:pPr>
      <w:r>
        <w:rPr>
          <w:b/>
          <w:color w:val="0A2240"/>
          <w:sz w:val="21"/>
        </w:rPr>
        <w:t>Lazy 1031</w:t>
      </w:r>
    </w:p>
    <w:p>
      <w:pPr>
        <w:spacing w:after="80"/>
        <w:ind w:left="0"/>
      </w:pPr>
      <w:r>
        <w:rPr>
          <w:color w:val="334155"/>
          <w:sz w:val="20"/>
        </w:rPr>
        <w:t>Offsetting capital gains with cost-segregation losses on a new property instead of doing a formal 1031.</w:t>
      </w:r>
    </w:p>
    <w:p>
      <w:pPr>
        <w:spacing w:before="120" w:after="20"/>
      </w:pPr>
      <w:r>
        <w:rPr>
          <w:b/>
          <w:color w:val="0A2240"/>
          <w:sz w:val="21"/>
        </w:rPr>
        <w:t>Lease Option</w:t>
      </w:r>
    </w:p>
    <w:p>
      <w:pPr>
        <w:spacing w:after="80"/>
        <w:ind w:left="0"/>
      </w:pPr>
      <w:r>
        <w:rPr>
          <w:color w:val="334155"/>
          <w:sz w:val="20"/>
        </w:rPr>
        <w:t>A lease that gives the tenant the right to purchase the property at a set price during the lease.</w:t>
      </w:r>
    </w:p>
    <w:p>
      <w:pPr>
        <w:spacing w:before="120" w:after="20"/>
      </w:pPr>
      <w:r>
        <w:rPr>
          <w:b/>
          <w:color w:val="0A2240"/>
          <w:sz w:val="21"/>
        </w:rPr>
        <w:t>Live-In Flip</w:t>
      </w:r>
    </w:p>
    <w:p>
      <w:pPr>
        <w:spacing w:after="80"/>
        <w:ind w:left="0"/>
      </w:pPr>
      <w:r>
        <w:rPr>
          <w:color w:val="334155"/>
          <w:sz w:val="20"/>
        </w:rPr>
        <w:t>Living in a renovating property as a primary residence to qualify for the Section 121 exclusion on sale.</w:t>
      </w:r>
    </w:p>
    <w:p>
      <w:pPr>
        <w:spacing w:before="120" w:after="20"/>
      </w:pPr>
      <w:r>
        <w:rPr>
          <w:b/>
          <w:color w:val="0A2240"/>
          <w:sz w:val="21"/>
        </w:rPr>
        <w:t>Mid-Term Furnished Rental</w:t>
      </w:r>
    </w:p>
    <w:p>
      <w:pPr>
        <w:spacing w:after="80"/>
        <w:ind w:left="0"/>
      </w:pPr>
      <w:r>
        <w:rPr>
          <w:color w:val="334155"/>
          <w:sz w:val="20"/>
        </w:rPr>
        <w:t>30-90 day furnished rentals targeting traveling professionals and insurance placements.</w:t>
      </w:r>
    </w:p>
    <w:p>
      <w:pPr>
        <w:spacing w:before="120" w:after="20"/>
      </w:pPr>
      <w:r>
        <w:rPr>
          <w:b/>
          <w:color w:val="0A2240"/>
          <w:sz w:val="21"/>
        </w:rPr>
        <w:t>Mid-Term Rental (MTR)</w:t>
      </w:r>
    </w:p>
    <w:p>
      <w:pPr>
        <w:spacing w:after="80"/>
        <w:ind w:left="0"/>
      </w:pPr>
      <w:r>
        <w:rPr>
          <w:color w:val="334155"/>
          <w:sz w:val="20"/>
        </w:rPr>
        <w:t>Rentals of 30+ days, popular with traveling professionals and relocating families.</w:t>
      </w:r>
    </w:p>
    <w:p>
      <w:pPr>
        <w:spacing w:before="120" w:after="20"/>
      </w:pPr>
      <w:r>
        <w:rPr>
          <w:b/>
          <w:color w:val="0A2240"/>
          <w:sz w:val="21"/>
        </w:rPr>
        <w:t>Note Investing</w:t>
      </w:r>
    </w:p>
    <w:p>
      <w:pPr>
        <w:spacing w:after="80"/>
        <w:ind w:left="0"/>
      </w:pPr>
      <w:r>
        <w:rPr>
          <w:color w:val="334155"/>
          <w:sz w:val="20"/>
        </w:rPr>
        <w:t>Buying mortgage notes from banks or investors for the income stream.</w:t>
      </w:r>
    </w:p>
    <w:p>
      <w:pPr>
        <w:spacing w:before="120" w:after="20"/>
      </w:pPr>
      <w:r>
        <w:rPr>
          <w:b/>
          <w:color w:val="0A2240"/>
          <w:sz w:val="21"/>
        </w:rPr>
        <w:t>Opportunistic Investment</w:t>
      </w:r>
    </w:p>
    <w:p>
      <w:pPr>
        <w:spacing w:after="80"/>
        <w:ind w:left="0"/>
      </w:pPr>
      <w:r>
        <w:rPr>
          <w:color w:val="334155"/>
          <w:sz w:val="20"/>
        </w:rPr>
        <w:t>High-risk strategies like ground-up development or major repositioning targeting high returns.</w:t>
      </w:r>
    </w:p>
    <w:p>
      <w:pPr>
        <w:spacing w:before="120" w:after="20"/>
      </w:pPr>
      <w:r>
        <w:rPr>
          <w:b/>
          <w:color w:val="0A2240"/>
          <w:sz w:val="21"/>
        </w:rPr>
        <w:t>Owner Financing</w:t>
      </w:r>
    </w:p>
    <w:p>
      <w:pPr>
        <w:spacing w:after="80"/>
        <w:ind w:left="0"/>
      </w:pPr>
      <w:r>
        <w:rPr>
          <w:color w:val="334155"/>
          <w:sz w:val="20"/>
        </w:rPr>
        <w:t>Seller acts as the lender, providing financing to the buyer.</w:t>
      </w:r>
    </w:p>
    <w:p>
      <w:pPr>
        <w:spacing w:before="120" w:after="20"/>
      </w:pPr>
      <w:r>
        <w:rPr>
          <w:b/>
          <w:color w:val="0A2240"/>
          <w:sz w:val="21"/>
        </w:rPr>
        <w:t>Pace of Investment</w:t>
      </w:r>
    </w:p>
    <w:p>
      <w:pPr>
        <w:spacing w:after="80"/>
        <w:ind w:left="0"/>
      </w:pPr>
      <w:r>
        <w:rPr>
          <w:color w:val="334155"/>
          <w:sz w:val="20"/>
        </w:rPr>
        <w:t>How quickly an investor deploys capital across deals — a key portfolio-construction decision.</w:t>
      </w:r>
    </w:p>
    <w:p>
      <w:pPr>
        <w:spacing w:before="120" w:after="20"/>
      </w:pPr>
      <w:r>
        <w:rPr>
          <w:b/>
          <w:color w:val="0A2240"/>
          <w:sz w:val="21"/>
        </w:rPr>
        <w:t>Portfolio Lender Strategy</w:t>
      </w:r>
    </w:p>
    <w:p>
      <w:pPr>
        <w:spacing w:after="80"/>
        <w:ind w:left="0"/>
      </w:pPr>
      <w:r>
        <w:rPr>
          <w:color w:val="334155"/>
          <w:sz w:val="20"/>
        </w:rPr>
        <w:t>Working with a single lender that keeps loans in-house for flexibility.</w:t>
      </w:r>
    </w:p>
    <w:p>
      <w:pPr>
        <w:spacing w:before="120" w:after="20"/>
      </w:pPr>
      <w:r>
        <w:rPr>
          <w:b/>
          <w:color w:val="0A2240"/>
          <w:sz w:val="21"/>
        </w:rPr>
        <w:t>Real Estate Note Sale</w:t>
      </w:r>
    </w:p>
    <w:p>
      <w:pPr>
        <w:spacing w:after="80"/>
        <w:ind w:left="0"/>
      </w:pPr>
      <w:r>
        <w:rPr>
          <w:color w:val="334155"/>
          <w:sz w:val="20"/>
        </w:rPr>
        <w:t>Selling an existing mortgage note to another investor for immediate cash.</w:t>
      </w:r>
    </w:p>
    <w:p>
      <w:pPr>
        <w:spacing w:before="120" w:after="20"/>
      </w:pPr>
      <w:r>
        <w:rPr>
          <w:b/>
          <w:color w:val="0A2240"/>
          <w:sz w:val="21"/>
        </w:rPr>
        <w:t>Refi Cashout Strategy</w:t>
      </w:r>
    </w:p>
    <w:p>
      <w:pPr>
        <w:spacing w:after="80"/>
        <w:ind w:left="0"/>
      </w:pPr>
      <w:r>
        <w:rPr>
          <w:color w:val="334155"/>
          <w:sz w:val="20"/>
        </w:rPr>
        <w:t>Pulling tax-free equity from a refinance to fund additional acquisitions.</w:t>
      </w:r>
    </w:p>
    <w:p>
      <w:pPr>
        <w:spacing w:before="120" w:after="20"/>
      </w:pPr>
      <w:r>
        <w:rPr>
          <w:b/>
          <w:color w:val="0A2240"/>
          <w:sz w:val="21"/>
        </w:rPr>
        <w:t>Seller Carryback</w:t>
      </w:r>
    </w:p>
    <w:p>
      <w:pPr>
        <w:spacing w:after="80"/>
        <w:ind w:left="0"/>
      </w:pPr>
      <w:r>
        <w:rPr>
          <w:color w:val="334155"/>
          <w:sz w:val="20"/>
        </w:rPr>
        <w:t>Seller financing where the seller takes back a mortgage from the buyer.</w:t>
      </w:r>
    </w:p>
    <w:p>
      <w:pPr>
        <w:spacing w:before="120" w:after="20"/>
      </w:pPr>
      <w:r>
        <w:rPr>
          <w:b/>
          <w:color w:val="0A2240"/>
          <w:sz w:val="21"/>
        </w:rPr>
        <w:t>Short-Term Rental (STR)</w:t>
      </w:r>
    </w:p>
    <w:p>
      <w:pPr>
        <w:spacing w:after="80"/>
        <w:ind w:left="0"/>
      </w:pPr>
      <w:r>
        <w:rPr>
          <w:color w:val="334155"/>
          <w:sz w:val="20"/>
        </w:rPr>
        <w:t>Renting a property on a nightly or weekly basis, often through platforms like Airbnb.</w:t>
      </w:r>
    </w:p>
    <w:p>
      <w:pPr>
        <w:spacing w:before="120" w:after="20"/>
      </w:pPr>
      <w:r>
        <w:rPr>
          <w:b/>
          <w:color w:val="0A2240"/>
          <w:sz w:val="21"/>
        </w:rPr>
        <w:t>Sober Living Rental</w:t>
      </w:r>
    </w:p>
    <w:p>
      <w:pPr>
        <w:spacing w:after="80"/>
        <w:ind w:left="0"/>
      </w:pPr>
      <w:r>
        <w:rPr>
          <w:color w:val="334155"/>
          <w:sz w:val="20"/>
        </w:rPr>
        <w:t>Single-family homes operated as sober-living recovery housing with structured occupancy.</w:t>
      </w:r>
    </w:p>
    <w:p>
      <w:pPr>
        <w:spacing w:before="120" w:after="20"/>
      </w:pPr>
      <w:r>
        <w:rPr>
          <w:b/>
          <w:color w:val="0A2240"/>
          <w:sz w:val="21"/>
        </w:rPr>
        <w:t>Subject-To</w:t>
      </w:r>
    </w:p>
    <w:p>
      <w:pPr>
        <w:spacing w:after="80"/>
        <w:ind w:left="0"/>
      </w:pPr>
      <w:r>
        <w:rPr>
          <w:color w:val="334155"/>
          <w:sz w:val="20"/>
        </w:rPr>
        <w:t>Buying property while leaving the seller's existing mortgage in place.</w:t>
      </w:r>
    </w:p>
    <w:p>
      <w:pPr>
        <w:spacing w:before="120" w:after="20"/>
      </w:pPr>
      <w:r>
        <w:rPr>
          <w:b/>
          <w:color w:val="0A2240"/>
          <w:sz w:val="21"/>
        </w:rPr>
        <w:t>Tax Deed Investing</w:t>
      </w:r>
    </w:p>
    <w:p>
      <w:pPr>
        <w:spacing w:after="80"/>
        <w:ind w:left="0"/>
      </w:pPr>
      <w:r>
        <w:rPr>
          <w:color w:val="334155"/>
          <w:sz w:val="20"/>
        </w:rPr>
        <w:t>Purchasing properties at tax-foreclosure auctions where unpaid taxes have led to title transfer.</w:t>
      </w:r>
    </w:p>
    <w:p>
      <w:pPr>
        <w:spacing w:before="120" w:after="20"/>
      </w:pPr>
      <w:r>
        <w:rPr>
          <w:b/>
          <w:color w:val="0A2240"/>
          <w:sz w:val="21"/>
        </w:rPr>
        <w:t>Tax Lien Investing</w:t>
      </w:r>
    </w:p>
    <w:p>
      <w:pPr>
        <w:spacing w:after="80"/>
        <w:ind w:left="0"/>
      </w:pPr>
      <w:r>
        <w:rPr>
          <w:color w:val="334155"/>
          <w:sz w:val="20"/>
        </w:rPr>
        <w:t>Buying property tax debt for interest and potential title claims.</w:t>
      </w:r>
    </w:p>
    <w:p>
      <w:pPr>
        <w:spacing w:before="120" w:after="20"/>
      </w:pPr>
      <w:r>
        <w:rPr>
          <w:b/>
          <w:color w:val="0A2240"/>
          <w:sz w:val="21"/>
        </w:rPr>
        <w:t>Trifecta Tax Strategy</w:t>
      </w:r>
    </w:p>
    <w:p>
      <w:pPr>
        <w:spacing w:after="80"/>
        <w:ind w:left="0"/>
      </w:pPr>
      <w:r>
        <w:rPr>
          <w:color w:val="334155"/>
          <w:sz w:val="20"/>
        </w:rPr>
        <w:t>Combining cost segregation, real-estate professional status, and bonus depreciation for major write-offs.</w:t>
      </w:r>
    </w:p>
    <w:p>
      <w:pPr>
        <w:spacing w:before="120" w:after="20"/>
      </w:pPr>
      <w:r>
        <w:rPr>
          <w:b/>
          <w:color w:val="0A2240"/>
          <w:sz w:val="21"/>
        </w:rPr>
        <w:t>Turnkey Rental</w:t>
      </w:r>
    </w:p>
    <w:p>
      <w:pPr>
        <w:spacing w:after="80"/>
        <w:ind w:left="0"/>
      </w:pPr>
      <w:r>
        <w:rPr>
          <w:color w:val="334155"/>
          <w:sz w:val="20"/>
        </w:rPr>
        <w:t>A fully renovated, tenanted, and managed property purchased for passive income.</w:t>
      </w:r>
    </w:p>
    <w:p>
      <w:pPr>
        <w:spacing w:before="120" w:after="20"/>
      </w:pPr>
      <w:r>
        <w:rPr>
          <w:b/>
          <w:color w:val="0A2240"/>
          <w:sz w:val="21"/>
        </w:rPr>
        <w:t>Value-Add Investment</w:t>
      </w:r>
    </w:p>
    <w:p>
      <w:pPr>
        <w:spacing w:after="80"/>
        <w:ind w:left="0"/>
      </w:pPr>
      <w:r>
        <w:rPr>
          <w:color w:val="334155"/>
          <w:sz w:val="20"/>
        </w:rPr>
        <w:t>A property with upside through renovation, repositioning, or operational improvement.</w:t>
      </w:r>
    </w:p>
    <w:p>
      <w:pPr>
        <w:spacing w:before="120" w:after="20"/>
      </w:pPr>
      <w:r>
        <w:rPr>
          <w:b/>
          <w:color w:val="0A2240"/>
          <w:sz w:val="21"/>
        </w:rPr>
        <w:t>Wholesaling</w:t>
      </w:r>
    </w:p>
    <w:p>
      <w:pPr>
        <w:spacing w:after="80"/>
        <w:ind w:left="0"/>
      </w:pPr>
      <w:r>
        <w:rPr>
          <w:color w:val="334155"/>
          <w:sz w:val="20"/>
        </w:rPr>
        <w:t>Contracting to buy a property then assigning the contract to another buyer for a fee.</w:t>
      </w:r>
    </w:p>
    <w:p>
      <w:r>
        <w:rPr>
          <w:b/>
          <w:color w:val="B22234"/>
          <w:sz w:val="28"/>
        </w:rPr>
        <w:t>Leasing &amp; Operations</w:t>
      </w:r>
    </w:p>
    <w:p>
      <w:pPr>
        <w:spacing w:before="120" w:after="20"/>
      </w:pPr>
      <w:r>
        <w:rPr>
          <w:b/>
          <w:color w:val="0A2240"/>
          <w:sz w:val="21"/>
        </w:rPr>
        <w:t>Assignment</w:t>
      </w:r>
    </w:p>
    <w:p>
      <w:pPr>
        <w:spacing w:after="80"/>
        <w:ind w:left="0"/>
      </w:pPr>
      <w:r>
        <w:rPr>
          <w:color w:val="334155"/>
          <w:sz w:val="20"/>
        </w:rPr>
        <w:t>Transferring lease obligations to a new tenant who steps fully into the original tenant's place.</w:t>
      </w:r>
    </w:p>
    <w:p>
      <w:pPr>
        <w:spacing w:before="120" w:after="20"/>
      </w:pPr>
      <w:r>
        <w:rPr>
          <w:b/>
          <w:color w:val="0A2240"/>
          <w:sz w:val="21"/>
        </w:rPr>
        <w:t>Base Year</w:t>
      </w:r>
    </w:p>
    <w:p>
      <w:pPr>
        <w:spacing w:after="80"/>
        <w:ind w:left="0"/>
      </w:pPr>
      <w:r>
        <w:rPr>
          <w:color w:val="334155"/>
          <w:sz w:val="20"/>
        </w:rPr>
        <w:t>The reference year for measuring future operating expense increases in a lease.</w:t>
      </w:r>
    </w:p>
    <w:p>
      <w:pPr>
        <w:spacing w:before="120" w:after="20"/>
      </w:pPr>
      <w:r>
        <w:rPr>
          <w:b/>
          <w:color w:val="0A2240"/>
          <w:sz w:val="21"/>
        </w:rPr>
        <w:t>Cancellation Option</w:t>
      </w:r>
    </w:p>
    <w:p>
      <w:pPr>
        <w:spacing w:after="80"/>
        <w:ind w:left="0"/>
      </w:pPr>
      <w:r>
        <w:rPr>
          <w:color w:val="334155"/>
          <w:sz w:val="20"/>
        </w:rPr>
        <w:t>A tenant's right to terminate the lease early, usually with notice and a fee.</w:t>
      </w:r>
    </w:p>
    <w:p>
      <w:pPr>
        <w:spacing w:before="120" w:after="20"/>
      </w:pPr>
      <w:r>
        <w:rPr>
          <w:b/>
          <w:color w:val="0A2240"/>
          <w:sz w:val="21"/>
        </w:rPr>
        <w:t>Common Area Maintenance (CAM)</w:t>
      </w:r>
    </w:p>
    <w:p>
      <w:pPr>
        <w:spacing w:after="80"/>
        <w:ind w:left="0"/>
      </w:pPr>
      <w:r>
        <w:rPr>
          <w:color w:val="334155"/>
          <w:sz w:val="20"/>
        </w:rPr>
        <w:t>Charges paid by tenants for upkeep of shared areas in commercial properties.</w:t>
      </w:r>
    </w:p>
    <w:p>
      <w:pPr>
        <w:spacing w:before="120" w:after="20"/>
      </w:pPr>
      <w:r>
        <w:rPr>
          <w:b/>
          <w:color w:val="0A2240"/>
          <w:sz w:val="21"/>
        </w:rPr>
        <w:t>CPI-Adjusted Rent</w:t>
      </w:r>
    </w:p>
    <w:p>
      <w:pPr>
        <w:spacing w:after="80"/>
        <w:ind w:left="0"/>
      </w:pPr>
      <w:r>
        <w:rPr>
          <w:color w:val="334155"/>
          <w:sz w:val="20"/>
        </w:rPr>
        <w:t>Rent increases tied to the Consumer Price Index inflation measure.</w:t>
      </w:r>
    </w:p>
    <w:p>
      <w:pPr>
        <w:spacing w:before="120" w:after="20"/>
      </w:pPr>
      <w:r>
        <w:rPr>
          <w:b/>
          <w:color w:val="0A2240"/>
          <w:sz w:val="21"/>
        </w:rPr>
        <w:t>Escalation Clause</w:t>
      </w:r>
    </w:p>
    <w:p>
      <w:pPr>
        <w:spacing w:after="80"/>
        <w:ind w:left="0"/>
      </w:pPr>
      <w:r>
        <w:rPr>
          <w:color w:val="334155"/>
          <w:sz w:val="20"/>
        </w:rPr>
        <w:t>A lease provision that increases rent annually based on a formula or index.</w:t>
      </w:r>
    </w:p>
    <w:p>
      <w:pPr>
        <w:spacing w:before="120" w:after="20"/>
      </w:pPr>
      <w:r>
        <w:rPr>
          <w:b/>
          <w:color w:val="0A2240"/>
          <w:sz w:val="21"/>
        </w:rPr>
        <w:t>Exclusive Use</w:t>
      </w:r>
    </w:p>
    <w:p>
      <w:pPr>
        <w:spacing w:after="80"/>
        <w:ind w:left="0"/>
      </w:pPr>
      <w:r>
        <w:rPr>
          <w:color w:val="334155"/>
          <w:sz w:val="20"/>
        </w:rPr>
        <w:t>A retail lease provision preventing the landlord from leasing nearby space to direct competitors.</w:t>
      </w:r>
    </w:p>
    <w:p>
      <w:pPr>
        <w:spacing w:before="120" w:after="20"/>
      </w:pPr>
      <w:r>
        <w:rPr>
          <w:b/>
          <w:color w:val="0A2240"/>
          <w:sz w:val="21"/>
        </w:rPr>
        <w:t>Force Majeure</w:t>
      </w:r>
    </w:p>
    <w:p>
      <w:pPr>
        <w:spacing w:after="80"/>
        <w:ind w:left="0"/>
      </w:pPr>
      <w:r>
        <w:rPr>
          <w:color w:val="334155"/>
          <w:sz w:val="20"/>
        </w:rPr>
        <w:t>A clause excusing performance due to events like natural disasters or pandemics.</w:t>
      </w:r>
    </w:p>
    <w:p>
      <w:pPr>
        <w:spacing w:before="120" w:after="20"/>
      </w:pPr>
      <w:r>
        <w:rPr>
          <w:b/>
          <w:color w:val="0A2240"/>
          <w:sz w:val="21"/>
        </w:rPr>
        <w:t>Free Rent Period</w:t>
      </w:r>
    </w:p>
    <w:p>
      <w:pPr>
        <w:spacing w:after="80"/>
        <w:ind w:left="0"/>
      </w:pPr>
      <w:r>
        <w:rPr>
          <w:color w:val="334155"/>
          <w:sz w:val="20"/>
        </w:rPr>
        <w:t>A concession giving the tenant rent-free occupancy at the start of a lease.</w:t>
      </w:r>
    </w:p>
    <w:p>
      <w:pPr>
        <w:spacing w:before="120" w:after="20"/>
      </w:pPr>
      <w:r>
        <w:rPr>
          <w:b/>
          <w:color w:val="0A2240"/>
          <w:sz w:val="21"/>
        </w:rPr>
        <w:t>Gross Lease</w:t>
      </w:r>
    </w:p>
    <w:p>
      <w:pPr>
        <w:spacing w:after="80"/>
        <w:ind w:left="0"/>
      </w:pPr>
      <w:r>
        <w:rPr>
          <w:color w:val="334155"/>
          <w:sz w:val="20"/>
        </w:rPr>
        <w:t>A lease where the landlord pays all operating expenses out of the rent collected.</w:t>
      </w:r>
    </w:p>
    <w:p>
      <w:pPr>
        <w:spacing w:before="120" w:after="20"/>
      </w:pPr>
      <w:r>
        <w:rPr>
          <w:b/>
          <w:color w:val="0A2240"/>
          <w:sz w:val="21"/>
        </w:rPr>
        <w:t>Hold Harmless Clause</w:t>
      </w:r>
    </w:p>
    <w:p>
      <w:pPr>
        <w:spacing w:after="80"/>
        <w:ind w:left="0"/>
      </w:pPr>
      <w:r>
        <w:rPr>
          <w:color w:val="334155"/>
          <w:sz w:val="20"/>
        </w:rPr>
        <w:t>A lease provision releasing one party from liability for certain claims.</w:t>
      </w:r>
    </w:p>
    <w:p>
      <w:pPr>
        <w:spacing w:before="120" w:after="20"/>
      </w:pPr>
      <w:r>
        <w:rPr>
          <w:b/>
          <w:color w:val="0A2240"/>
          <w:sz w:val="21"/>
        </w:rPr>
        <w:t>Holdover Tenant</w:t>
      </w:r>
    </w:p>
    <w:p>
      <w:pPr>
        <w:spacing w:after="80"/>
        <w:ind w:left="0"/>
      </w:pPr>
      <w:r>
        <w:rPr>
          <w:color w:val="334155"/>
          <w:sz w:val="20"/>
        </w:rPr>
        <w:t>A tenant who remains in possession after the lease has expired.</w:t>
      </w:r>
    </w:p>
    <w:p>
      <w:pPr>
        <w:spacing w:before="120" w:after="20"/>
      </w:pPr>
      <w:r>
        <w:rPr>
          <w:b/>
          <w:color w:val="0A2240"/>
          <w:sz w:val="21"/>
        </w:rPr>
        <w:t>Indemnification</w:t>
      </w:r>
    </w:p>
    <w:p>
      <w:pPr>
        <w:spacing w:after="80"/>
        <w:ind w:left="0"/>
      </w:pPr>
      <w:r>
        <w:rPr>
          <w:color w:val="334155"/>
          <w:sz w:val="20"/>
        </w:rPr>
        <w:t>A contractual promise to compensate another party for specified losses.</w:t>
      </w:r>
    </w:p>
    <w:p>
      <w:pPr>
        <w:spacing w:before="120" w:after="20"/>
      </w:pPr>
      <w:r>
        <w:rPr>
          <w:b/>
          <w:color w:val="0A2240"/>
          <w:sz w:val="21"/>
        </w:rPr>
        <w:t>Lease Abstract</w:t>
      </w:r>
    </w:p>
    <w:p>
      <w:pPr>
        <w:spacing w:after="80"/>
        <w:ind w:left="0"/>
      </w:pPr>
      <w:r>
        <w:rPr>
          <w:color w:val="334155"/>
          <w:sz w:val="20"/>
        </w:rPr>
        <w:t>A one-page summary of key lease terms — useful for property management.</w:t>
      </w:r>
    </w:p>
    <w:p>
      <w:pPr>
        <w:spacing w:before="120" w:after="20"/>
      </w:pPr>
      <w:r>
        <w:rPr>
          <w:b/>
          <w:color w:val="0A2240"/>
          <w:sz w:val="21"/>
        </w:rPr>
        <w:t>Lease Buyout</w:t>
      </w:r>
    </w:p>
    <w:p>
      <w:pPr>
        <w:spacing w:after="80"/>
        <w:ind w:left="0"/>
      </w:pPr>
      <w:r>
        <w:rPr>
          <w:color w:val="334155"/>
          <w:sz w:val="20"/>
        </w:rPr>
        <w:t>A payment to a tenant to terminate a lease early.</w:t>
      </w:r>
    </w:p>
    <w:p>
      <w:pPr>
        <w:spacing w:before="120" w:after="20"/>
      </w:pPr>
      <w:r>
        <w:rPr>
          <w:b/>
          <w:color w:val="0A2240"/>
          <w:sz w:val="21"/>
        </w:rPr>
        <w:t>Lease Commencement</w:t>
      </w:r>
    </w:p>
    <w:p>
      <w:pPr>
        <w:spacing w:after="80"/>
        <w:ind w:left="0"/>
      </w:pPr>
      <w:r>
        <w:rPr>
          <w:color w:val="334155"/>
          <w:sz w:val="20"/>
        </w:rPr>
        <w:t>The date a tenant officially begins paying rent and occupying space.</w:t>
      </w:r>
    </w:p>
    <w:p>
      <w:pPr>
        <w:spacing w:before="120" w:after="20"/>
      </w:pPr>
      <w:r>
        <w:rPr>
          <w:b/>
          <w:color w:val="0A2240"/>
          <w:sz w:val="21"/>
        </w:rPr>
        <w:t>Lease Term</w:t>
      </w:r>
    </w:p>
    <w:p>
      <w:pPr>
        <w:spacing w:after="80"/>
        <w:ind w:left="0"/>
      </w:pPr>
      <w:r>
        <w:rPr>
          <w:color w:val="334155"/>
          <w:sz w:val="20"/>
        </w:rPr>
        <w:t>The length of time a tenant is contractually obligated to occupy a property.</w:t>
      </w:r>
    </w:p>
    <w:p>
      <w:pPr>
        <w:spacing w:before="120" w:after="20"/>
      </w:pPr>
      <w:r>
        <w:rPr>
          <w:b/>
          <w:color w:val="0A2240"/>
          <w:sz w:val="21"/>
        </w:rPr>
        <w:t>Lease-Up</w:t>
      </w:r>
    </w:p>
    <w:p>
      <w:pPr>
        <w:spacing w:after="80"/>
        <w:ind w:left="0"/>
      </w:pPr>
      <w:r>
        <w:rPr>
          <w:color w:val="334155"/>
          <w:sz w:val="20"/>
        </w:rPr>
        <w:t>The period of leasing newly built or renovated space until stabilization.</w:t>
      </w:r>
    </w:p>
    <w:p>
      <w:pPr>
        <w:spacing w:before="120" w:after="20"/>
      </w:pPr>
      <w:r>
        <w:rPr>
          <w:b/>
          <w:color w:val="0A2240"/>
          <w:sz w:val="21"/>
        </w:rPr>
        <w:t>Marketing Fund Contribution</w:t>
      </w:r>
    </w:p>
    <w:p>
      <w:pPr>
        <w:spacing w:after="80"/>
        <w:ind w:left="0"/>
      </w:pPr>
      <w:r>
        <w:rPr>
          <w:color w:val="334155"/>
          <w:sz w:val="20"/>
        </w:rPr>
        <w:t>Tenant contributions to a center's joint marketing efforts, often in retail.</w:t>
      </w:r>
    </w:p>
    <w:p>
      <w:pPr>
        <w:spacing w:before="120" w:after="20"/>
      </w:pPr>
      <w:r>
        <w:rPr>
          <w:b/>
          <w:color w:val="0A2240"/>
          <w:sz w:val="21"/>
        </w:rPr>
        <w:t>Modified Gross Lease</w:t>
      </w:r>
    </w:p>
    <w:p>
      <w:pPr>
        <w:spacing w:after="80"/>
        <w:ind w:left="0"/>
      </w:pPr>
      <w:r>
        <w:rPr>
          <w:color w:val="334155"/>
          <w:sz w:val="20"/>
        </w:rPr>
        <w:t>A hybrid lease where landlord and tenant split certain operating expenses.</w:t>
      </w:r>
    </w:p>
    <w:p>
      <w:pPr>
        <w:spacing w:before="120" w:after="20"/>
      </w:pPr>
      <w:r>
        <w:rPr>
          <w:b/>
          <w:color w:val="0A2240"/>
          <w:sz w:val="21"/>
        </w:rPr>
        <w:t>Net Effective Rent (NER)</w:t>
      </w:r>
    </w:p>
    <w:p>
      <w:pPr>
        <w:spacing w:after="80"/>
        <w:ind w:left="0"/>
      </w:pPr>
      <w:r>
        <w:rPr>
          <w:color w:val="334155"/>
          <w:sz w:val="20"/>
        </w:rPr>
        <w:t>Average rent over the lease term after deducting concessions and free rent.</w:t>
      </w:r>
    </w:p>
    <w:p>
      <w:pPr>
        <w:spacing w:before="120" w:after="20"/>
      </w:pPr>
      <w:r>
        <w:rPr>
          <w:b/>
          <w:color w:val="0A2240"/>
          <w:sz w:val="21"/>
        </w:rPr>
        <w:t>Net Lease</w:t>
      </w:r>
    </w:p>
    <w:p>
      <w:pPr>
        <w:spacing w:after="80"/>
        <w:ind w:left="0"/>
      </w:pPr>
      <w:r>
        <w:rPr>
          <w:color w:val="334155"/>
          <w:sz w:val="20"/>
        </w:rPr>
        <w:t>A lease where the tenant pays some operating expenses in addition to base rent.</w:t>
      </w:r>
    </w:p>
    <w:p>
      <w:pPr>
        <w:spacing w:before="120" w:after="20"/>
      </w:pPr>
      <w:r>
        <w:rPr>
          <w:b/>
          <w:color w:val="0A2240"/>
          <w:sz w:val="21"/>
        </w:rPr>
        <w:t>Operating Expense Stop</w:t>
      </w:r>
    </w:p>
    <w:p>
      <w:pPr>
        <w:spacing w:after="80"/>
        <w:ind w:left="0"/>
      </w:pPr>
      <w:r>
        <w:rPr>
          <w:color w:val="334155"/>
          <w:sz w:val="20"/>
        </w:rPr>
        <w:t>A cap on the landlord's operating expenses, with the tenant paying any excess.</w:t>
      </w:r>
    </w:p>
    <w:p>
      <w:pPr>
        <w:spacing w:before="120" w:after="20"/>
      </w:pPr>
      <w:r>
        <w:rPr>
          <w:b/>
          <w:color w:val="0A2240"/>
          <w:sz w:val="21"/>
        </w:rPr>
        <w:t>Operating Statement</w:t>
      </w:r>
    </w:p>
    <w:p>
      <w:pPr>
        <w:spacing w:after="80"/>
        <w:ind w:left="0"/>
      </w:pPr>
      <w:r>
        <w:rPr>
          <w:color w:val="334155"/>
          <w:sz w:val="20"/>
        </w:rPr>
        <w:t>A monthly or annual report showing a property's income, expenses, and net cash flow.</w:t>
      </w:r>
    </w:p>
    <w:p>
      <w:pPr>
        <w:spacing w:before="120" w:after="20"/>
      </w:pPr>
      <w:r>
        <w:rPr>
          <w:b/>
          <w:color w:val="0A2240"/>
          <w:sz w:val="21"/>
        </w:rPr>
        <w:t>Percentage Lease</w:t>
      </w:r>
    </w:p>
    <w:p>
      <w:pPr>
        <w:spacing w:after="80"/>
        <w:ind w:left="0"/>
      </w:pPr>
      <w:r>
        <w:rPr>
          <w:color w:val="334155"/>
          <w:sz w:val="20"/>
        </w:rPr>
        <w:t>A retail lease where the tenant pays base rent plus a percentage of sales.</w:t>
      </w:r>
    </w:p>
    <w:p>
      <w:pPr>
        <w:spacing w:before="120" w:after="20"/>
      </w:pPr>
      <w:r>
        <w:rPr>
          <w:b/>
          <w:color w:val="0A2240"/>
          <w:sz w:val="21"/>
        </w:rPr>
        <w:t>Renewal Option</w:t>
      </w:r>
    </w:p>
    <w:p>
      <w:pPr>
        <w:spacing w:after="80"/>
        <w:ind w:left="0"/>
      </w:pPr>
      <w:r>
        <w:rPr>
          <w:color w:val="334155"/>
          <w:sz w:val="20"/>
        </w:rPr>
        <w:t>A tenant's right to extend the lease at predetermined terms.</w:t>
      </w:r>
    </w:p>
    <w:p>
      <w:pPr>
        <w:spacing w:before="120" w:after="20"/>
      </w:pPr>
      <w:r>
        <w:rPr>
          <w:b/>
          <w:color w:val="0A2240"/>
          <w:sz w:val="21"/>
        </w:rPr>
        <w:t>Rent Concession</w:t>
      </w:r>
    </w:p>
    <w:p>
      <w:pPr>
        <w:spacing w:after="80"/>
        <w:ind w:left="0"/>
      </w:pPr>
      <w:r>
        <w:rPr>
          <w:color w:val="334155"/>
          <w:sz w:val="20"/>
        </w:rPr>
        <w:t>A discount or free-rent period offered to attract tenants in soft markets.</w:t>
      </w:r>
    </w:p>
    <w:p>
      <w:pPr>
        <w:spacing w:before="120" w:after="20"/>
      </w:pPr>
      <w:r>
        <w:rPr>
          <w:b/>
          <w:color w:val="0A2240"/>
          <w:sz w:val="21"/>
        </w:rPr>
        <w:t>Rent Roll</w:t>
      </w:r>
    </w:p>
    <w:p>
      <w:pPr>
        <w:spacing w:after="80"/>
        <w:ind w:left="0"/>
      </w:pPr>
      <w:r>
        <w:rPr>
          <w:color w:val="334155"/>
          <w:sz w:val="20"/>
        </w:rPr>
        <w:t>A document listing each unit, tenant, lease term, and current rent for a property.</w:t>
      </w:r>
    </w:p>
    <w:p>
      <w:pPr>
        <w:spacing w:before="120" w:after="20"/>
      </w:pPr>
      <w:r>
        <w:rPr>
          <w:b/>
          <w:color w:val="0A2240"/>
          <w:sz w:val="21"/>
        </w:rPr>
        <w:t>Right to Audit</w:t>
      </w:r>
    </w:p>
    <w:p>
      <w:pPr>
        <w:spacing w:after="80"/>
        <w:ind w:left="0"/>
      </w:pPr>
      <w:r>
        <w:rPr>
          <w:color w:val="334155"/>
          <w:sz w:val="20"/>
        </w:rPr>
        <w:t>A tenant's contractual right to inspect landlord's records for pass-through expenses.</w:t>
      </w:r>
    </w:p>
    <w:p>
      <w:pPr>
        <w:spacing w:before="120" w:after="20"/>
      </w:pPr>
      <w:r>
        <w:rPr>
          <w:b/>
          <w:color w:val="0A2240"/>
          <w:sz w:val="21"/>
        </w:rPr>
        <w:t>Step-Up Rent</w:t>
      </w:r>
    </w:p>
    <w:p>
      <w:pPr>
        <w:spacing w:after="80"/>
        <w:ind w:left="0"/>
      </w:pPr>
      <w:r>
        <w:rPr>
          <w:color w:val="334155"/>
          <w:sz w:val="20"/>
        </w:rPr>
        <w:t>A lease with pre-scheduled rent increases at specified intervals.</w:t>
      </w:r>
    </w:p>
    <w:p>
      <w:pPr>
        <w:spacing w:before="120" w:after="20"/>
      </w:pPr>
      <w:r>
        <w:rPr>
          <w:b/>
          <w:color w:val="0A2240"/>
          <w:sz w:val="21"/>
        </w:rPr>
        <w:t>Sublease</w:t>
      </w:r>
    </w:p>
    <w:p>
      <w:pPr>
        <w:spacing w:after="80"/>
        <w:ind w:left="0"/>
      </w:pPr>
      <w:r>
        <w:rPr>
          <w:color w:val="334155"/>
          <w:sz w:val="20"/>
        </w:rPr>
        <w:t>An arrangement where the original tenant leases part or all of the space to a third party.</w:t>
      </w:r>
    </w:p>
    <w:p>
      <w:pPr>
        <w:spacing w:before="120" w:after="20"/>
      </w:pPr>
      <w:r>
        <w:rPr>
          <w:b/>
          <w:color w:val="0A2240"/>
          <w:sz w:val="21"/>
        </w:rPr>
        <w:t>Tenant Improvement (TI) Allowance</w:t>
      </w:r>
    </w:p>
    <w:p>
      <w:pPr>
        <w:spacing w:after="80"/>
        <w:ind w:left="0"/>
      </w:pPr>
      <w:r>
        <w:rPr>
          <w:color w:val="334155"/>
          <w:sz w:val="20"/>
        </w:rPr>
        <w:t>A landlord's contribution toward customizing a leased space for the tenant.</w:t>
      </w:r>
    </w:p>
    <w:p>
      <w:pPr>
        <w:spacing w:before="120" w:after="20"/>
      </w:pPr>
      <w:r>
        <w:rPr>
          <w:b/>
          <w:color w:val="0A2240"/>
          <w:sz w:val="21"/>
        </w:rPr>
        <w:t>Triple Net Lease (NNN)</w:t>
      </w:r>
    </w:p>
    <w:p>
      <w:pPr>
        <w:spacing w:after="80"/>
        <w:ind w:left="0"/>
      </w:pPr>
      <w:r>
        <w:rPr>
          <w:color w:val="334155"/>
          <w:sz w:val="20"/>
        </w:rPr>
        <w:t>A lease where the tenant pays property taxes, insurance, and maintenance on top of rent.</w:t>
      </w:r>
    </w:p>
    <w:p>
      <w:pPr>
        <w:spacing w:before="120" w:after="20"/>
      </w:pPr>
      <w:r>
        <w:rPr>
          <w:b/>
          <w:color w:val="0A2240"/>
          <w:sz w:val="21"/>
        </w:rPr>
        <w:t>Use Clause</w:t>
      </w:r>
    </w:p>
    <w:p>
      <w:pPr>
        <w:spacing w:after="80"/>
        <w:ind w:left="0"/>
      </w:pPr>
      <w:r>
        <w:rPr>
          <w:color w:val="334155"/>
          <w:sz w:val="20"/>
        </w:rPr>
        <w:t>A lease provision specifying what activities the tenant can conduct in the space.</w:t>
      </w:r>
    </w:p>
    <w:p>
      <w:pPr>
        <w:spacing w:before="120" w:after="20"/>
      </w:pPr>
      <w:r>
        <w:rPr>
          <w:b/>
          <w:color w:val="0A2240"/>
          <w:sz w:val="21"/>
        </w:rPr>
        <w:t>Vacancy Rate</w:t>
      </w:r>
    </w:p>
    <w:p>
      <w:pPr>
        <w:spacing w:after="80"/>
        <w:ind w:left="0"/>
      </w:pPr>
      <w:r>
        <w:rPr>
          <w:color w:val="334155"/>
          <w:sz w:val="20"/>
        </w:rPr>
        <w:t>The percentage of total rentable units that are unoccupied at a given time.</w:t>
      </w:r>
    </w:p>
    <w:p>
      <w:r>
        <w:rPr>
          <w:b/>
          <w:color w:val="B22234"/>
          <w:sz w:val="28"/>
        </w:rPr>
        <w:t>Legal &amp; Title</w:t>
      </w:r>
    </w:p>
    <w:p>
      <w:pPr>
        <w:spacing w:before="120" w:after="20"/>
      </w:pPr>
      <w:r>
        <w:rPr>
          <w:b/>
          <w:color w:val="0A2240"/>
          <w:sz w:val="21"/>
        </w:rPr>
        <w:t>Adverse Possession Tacking</w:t>
      </w:r>
    </w:p>
    <w:p>
      <w:pPr>
        <w:spacing w:after="80"/>
        <w:ind w:left="0"/>
      </w:pPr>
      <w:r>
        <w:rPr>
          <w:color w:val="334155"/>
          <w:sz w:val="20"/>
        </w:rPr>
        <w:t>Combining consecutive periods of adverse possession by successive owners to meet the statutory term.</w:t>
      </w:r>
    </w:p>
    <w:p>
      <w:pPr>
        <w:spacing w:before="120" w:after="20"/>
      </w:pPr>
      <w:r>
        <w:rPr>
          <w:b/>
          <w:color w:val="0A2240"/>
          <w:sz w:val="21"/>
        </w:rPr>
        <w:t>ALTA</w:t>
      </w:r>
    </w:p>
    <w:p>
      <w:pPr>
        <w:spacing w:after="80"/>
        <w:ind w:left="0"/>
      </w:pPr>
      <w:r>
        <w:rPr>
          <w:color w:val="334155"/>
          <w:sz w:val="20"/>
        </w:rPr>
        <w:t>American Land Title Association — sets standards for title insurance policies and surveys.</w:t>
      </w:r>
    </w:p>
    <w:p>
      <w:pPr>
        <w:spacing w:before="120" w:after="20"/>
      </w:pPr>
      <w:r>
        <w:rPr>
          <w:b/>
          <w:color w:val="0A2240"/>
          <w:sz w:val="21"/>
        </w:rPr>
        <w:t>Bargain and Sale Deed</w:t>
      </w:r>
    </w:p>
    <w:p>
      <w:pPr>
        <w:spacing w:after="80"/>
        <w:ind w:left="0"/>
      </w:pPr>
      <w:r>
        <w:rPr>
          <w:color w:val="334155"/>
          <w:sz w:val="20"/>
        </w:rPr>
        <w:t>A deed that implies the seller has title but provides no explicit warranties.</w:t>
      </w:r>
    </w:p>
    <w:p>
      <w:pPr>
        <w:spacing w:before="120" w:after="20"/>
      </w:pPr>
      <w:r>
        <w:rPr>
          <w:b/>
          <w:color w:val="0A2240"/>
          <w:sz w:val="21"/>
        </w:rPr>
        <w:t>Bond for Deed</w:t>
      </w:r>
    </w:p>
    <w:p>
      <w:pPr>
        <w:spacing w:after="80"/>
        <w:ind w:left="0"/>
      </w:pPr>
      <w:r>
        <w:rPr>
          <w:color w:val="334155"/>
          <w:sz w:val="20"/>
        </w:rPr>
        <w:t>An installment land contract where the buyer takes possession but the seller retains title until paid.</w:t>
      </w:r>
    </w:p>
    <w:p>
      <w:pPr>
        <w:spacing w:before="120" w:after="20"/>
      </w:pPr>
      <w:r>
        <w:rPr>
          <w:b/>
          <w:color w:val="0A2240"/>
          <w:sz w:val="21"/>
        </w:rPr>
        <w:t>Bylaws (HOA)</w:t>
      </w:r>
    </w:p>
    <w:p>
      <w:pPr>
        <w:spacing w:after="80"/>
        <w:ind w:left="0"/>
      </w:pPr>
      <w:r>
        <w:rPr>
          <w:color w:val="334155"/>
          <w:sz w:val="20"/>
        </w:rPr>
        <w:t>The rules governing operation of a homeowners or condo association.</w:t>
      </w:r>
    </w:p>
    <w:p>
      <w:pPr>
        <w:spacing w:before="120" w:after="20"/>
      </w:pPr>
      <w:r>
        <w:rPr>
          <w:b/>
          <w:color w:val="0A2240"/>
          <w:sz w:val="21"/>
        </w:rPr>
        <w:t>CC&amp;Rs</w:t>
      </w:r>
    </w:p>
    <w:p>
      <w:pPr>
        <w:spacing w:after="80"/>
        <w:ind w:left="0"/>
      </w:pPr>
      <w:r>
        <w:rPr>
          <w:color w:val="334155"/>
          <w:sz w:val="20"/>
        </w:rPr>
        <w:t>Covenants, Conditions &amp; Restrictions — HOA rules governing a community.</w:t>
      </w:r>
    </w:p>
    <w:p>
      <w:pPr>
        <w:spacing w:before="120" w:after="20"/>
      </w:pPr>
      <w:r>
        <w:rPr>
          <w:b/>
          <w:color w:val="0A2240"/>
          <w:sz w:val="21"/>
        </w:rPr>
        <w:t>Chain of Title</w:t>
      </w:r>
    </w:p>
    <w:p>
      <w:pPr>
        <w:spacing w:after="80"/>
        <w:ind w:left="0"/>
      </w:pPr>
      <w:r>
        <w:rPr>
          <w:color w:val="334155"/>
          <w:sz w:val="20"/>
        </w:rPr>
        <w:t>The historical sequence of ownership transfers for a property.</w:t>
      </w:r>
    </w:p>
    <w:p>
      <w:pPr>
        <w:spacing w:before="120" w:after="20"/>
      </w:pPr>
      <w:r>
        <w:rPr>
          <w:b/>
          <w:color w:val="0A2240"/>
          <w:sz w:val="21"/>
        </w:rPr>
        <w:t>Cloud on Title</w:t>
      </w:r>
    </w:p>
    <w:p>
      <w:pPr>
        <w:spacing w:after="80"/>
        <w:ind w:left="0"/>
      </w:pPr>
      <w:r>
        <w:rPr>
          <w:color w:val="334155"/>
          <w:sz w:val="20"/>
        </w:rPr>
        <w:t>Any claim or encumbrance that may impair the marketability of a property's title.</w:t>
      </w:r>
    </w:p>
    <w:p>
      <w:pPr>
        <w:spacing w:before="120" w:after="20"/>
      </w:pPr>
      <w:r>
        <w:rPr>
          <w:b/>
          <w:color w:val="0A2240"/>
          <w:sz w:val="21"/>
        </w:rPr>
        <w:t>Contract for Deed</w:t>
      </w:r>
    </w:p>
    <w:p>
      <w:pPr>
        <w:spacing w:after="80"/>
        <w:ind w:left="0"/>
      </w:pPr>
      <w:r>
        <w:rPr>
          <w:color w:val="334155"/>
          <w:sz w:val="20"/>
        </w:rPr>
        <w:t>Another name for a land contract — seller financing without immediate title transfer.</w:t>
      </w:r>
    </w:p>
    <w:p>
      <w:pPr>
        <w:spacing w:before="120" w:after="20"/>
      </w:pPr>
      <w:r>
        <w:rPr>
          <w:b/>
          <w:color w:val="0A2240"/>
          <w:sz w:val="21"/>
        </w:rPr>
        <w:t>Easement Appurtenant</w:t>
      </w:r>
    </w:p>
    <w:p>
      <w:pPr>
        <w:spacing w:after="80"/>
        <w:ind w:left="0"/>
      </w:pPr>
      <w:r>
        <w:rPr>
          <w:color w:val="334155"/>
          <w:sz w:val="20"/>
        </w:rPr>
        <w:t>An easement attached to the land that transfers with ownership.</w:t>
      </w:r>
    </w:p>
    <w:p>
      <w:pPr>
        <w:spacing w:before="120" w:after="20"/>
      </w:pPr>
      <w:r>
        <w:rPr>
          <w:b/>
          <w:color w:val="0A2240"/>
          <w:sz w:val="21"/>
        </w:rPr>
        <w:t>Easement by Necessity</w:t>
      </w:r>
    </w:p>
    <w:p>
      <w:pPr>
        <w:spacing w:after="80"/>
        <w:ind w:left="0"/>
      </w:pPr>
      <w:r>
        <w:rPr>
          <w:color w:val="334155"/>
          <w:sz w:val="20"/>
        </w:rPr>
        <w:t>An easement created when property would be landlocked without it.</w:t>
      </w:r>
    </w:p>
    <w:p>
      <w:pPr>
        <w:spacing w:before="120" w:after="20"/>
      </w:pPr>
      <w:r>
        <w:rPr>
          <w:b/>
          <w:color w:val="0A2240"/>
          <w:sz w:val="21"/>
        </w:rPr>
        <w:t>Easement by Prescription</w:t>
      </w:r>
    </w:p>
    <w:p>
      <w:pPr>
        <w:spacing w:after="80"/>
        <w:ind w:left="0"/>
      </w:pPr>
      <w:r>
        <w:rPr>
          <w:color w:val="334155"/>
          <w:sz w:val="20"/>
        </w:rPr>
        <w:t>An easement acquired through long-term, open, hostile use.</w:t>
      </w:r>
    </w:p>
    <w:p>
      <w:pPr>
        <w:spacing w:before="120" w:after="20"/>
      </w:pPr>
      <w:r>
        <w:rPr>
          <w:b/>
          <w:color w:val="0A2240"/>
          <w:sz w:val="21"/>
        </w:rPr>
        <w:t>Easement in Gross</w:t>
      </w:r>
    </w:p>
    <w:p>
      <w:pPr>
        <w:spacing w:after="80"/>
        <w:ind w:left="0"/>
      </w:pPr>
      <w:r>
        <w:rPr>
          <w:color w:val="334155"/>
          <w:sz w:val="20"/>
        </w:rPr>
        <w:t>A personal easement that doesn't transfer with property — like utility easements.</w:t>
      </w:r>
    </w:p>
    <w:p>
      <w:pPr>
        <w:spacing w:before="120" w:after="20"/>
      </w:pPr>
      <w:r>
        <w:rPr>
          <w:b/>
          <w:color w:val="0A2240"/>
          <w:sz w:val="21"/>
        </w:rPr>
        <w:t>Eminent Domain</w:t>
      </w:r>
    </w:p>
    <w:p>
      <w:pPr>
        <w:spacing w:after="80"/>
        <w:ind w:left="0"/>
      </w:pPr>
      <w:r>
        <w:rPr>
          <w:color w:val="334155"/>
          <w:sz w:val="20"/>
        </w:rPr>
        <w:t>The government's right to take private property for public use, with just compensation.</w:t>
      </w:r>
    </w:p>
    <w:p>
      <w:pPr>
        <w:spacing w:before="120" w:after="20"/>
      </w:pPr>
      <w:r>
        <w:rPr>
          <w:b/>
          <w:color w:val="0A2240"/>
          <w:sz w:val="21"/>
        </w:rPr>
        <w:t>Escheat</w:t>
      </w:r>
    </w:p>
    <w:p>
      <w:pPr>
        <w:spacing w:after="80"/>
        <w:ind w:left="0"/>
      </w:pPr>
      <w:r>
        <w:rPr>
          <w:color w:val="334155"/>
          <w:sz w:val="20"/>
        </w:rPr>
        <w:t>The reversion of property to the state when an owner dies without heirs or a will.</w:t>
      </w:r>
    </w:p>
    <w:p>
      <w:pPr>
        <w:spacing w:before="120" w:after="20"/>
      </w:pPr>
      <w:r>
        <w:rPr>
          <w:b/>
          <w:color w:val="0A2240"/>
          <w:sz w:val="21"/>
        </w:rPr>
        <w:t>Lady Bird Deed</w:t>
      </w:r>
    </w:p>
    <w:p>
      <w:pPr>
        <w:spacing w:after="80"/>
        <w:ind w:left="0"/>
      </w:pPr>
      <w:r>
        <w:rPr>
          <w:color w:val="334155"/>
          <w:sz w:val="20"/>
        </w:rPr>
        <w:t>An enhanced life estate deed allowing the owner to retain control and avoid probate.</w:t>
      </w:r>
    </w:p>
    <w:p>
      <w:pPr>
        <w:spacing w:before="120" w:after="20"/>
      </w:pPr>
      <w:r>
        <w:rPr>
          <w:b/>
          <w:color w:val="0A2240"/>
          <w:sz w:val="21"/>
        </w:rPr>
        <w:t>Land Contract</w:t>
      </w:r>
    </w:p>
    <w:p>
      <w:pPr>
        <w:spacing w:after="80"/>
        <w:ind w:left="0"/>
      </w:pPr>
      <w:r>
        <w:rPr>
          <w:color w:val="334155"/>
          <w:sz w:val="20"/>
        </w:rPr>
        <w:t>A seller-financed agreement where the buyer makes payments and gets title after full payment.</w:t>
      </w:r>
    </w:p>
    <w:p>
      <w:pPr>
        <w:spacing w:before="120" w:after="20"/>
      </w:pPr>
      <w:r>
        <w:rPr>
          <w:b/>
          <w:color w:val="0A2240"/>
          <w:sz w:val="21"/>
        </w:rPr>
        <w:t>Lender's Title Policy</w:t>
      </w:r>
    </w:p>
    <w:p>
      <w:pPr>
        <w:spacing w:after="80"/>
        <w:ind w:left="0"/>
      </w:pPr>
      <w:r>
        <w:rPr>
          <w:color w:val="334155"/>
          <w:sz w:val="20"/>
        </w:rPr>
        <w:t>Title insurance protecting the lender against title defects, typically required at closing.</w:t>
      </w:r>
    </w:p>
    <w:p>
      <w:pPr>
        <w:spacing w:before="120" w:after="20"/>
      </w:pPr>
      <w:r>
        <w:rPr>
          <w:b/>
          <w:color w:val="0A2240"/>
          <w:sz w:val="21"/>
        </w:rPr>
        <w:t>Lis Pendens</w:t>
      </w:r>
    </w:p>
    <w:p>
      <w:pPr>
        <w:spacing w:after="80"/>
        <w:ind w:left="0"/>
      </w:pPr>
      <w:r>
        <w:rPr>
          <w:color w:val="334155"/>
          <w:sz w:val="20"/>
        </w:rPr>
        <w:t>A public notice that a lawsuit affecting title to a property has been filed.</w:t>
      </w:r>
    </w:p>
    <w:p>
      <w:pPr>
        <w:spacing w:before="120" w:after="20"/>
      </w:pPr>
      <w:r>
        <w:rPr>
          <w:b/>
          <w:color w:val="0A2240"/>
          <w:sz w:val="21"/>
        </w:rPr>
        <w:t>Marketable Title</w:t>
      </w:r>
    </w:p>
    <w:p>
      <w:pPr>
        <w:spacing w:after="80"/>
        <w:ind w:left="0"/>
      </w:pPr>
      <w:r>
        <w:rPr>
          <w:color w:val="334155"/>
          <w:sz w:val="20"/>
        </w:rPr>
        <w:t>Title free of significant defects that a reasonable buyer would accept.</w:t>
      </w:r>
    </w:p>
    <w:p>
      <w:pPr>
        <w:spacing w:before="120" w:after="20"/>
      </w:pPr>
      <w:r>
        <w:rPr>
          <w:b/>
          <w:color w:val="0A2240"/>
          <w:sz w:val="21"/>
        </w:rPr>
        <w:t>Mineral Deed</w:t>
      </w:r>
    </w:p>
    <w:p>
      <w:pPr>
        <w:spacing w:after="80"/>
        <w:ind w:left="0"/>
      </w:pPr>
      <w:r>
        <w:rPr>
          <w:color w:val="334155"/>
          <w:sz w:val="20"/>
        </w:rPr>
        <w:t>A deed transferring only mineral rights, separate from surface ownership.</w:t>
      </w:r>
    </w:p>
    <w:p>
      <w:pPr>
        <w:spacing w:before="120" w:after="20"/>
      </w:pPr>
      <w:r>
        <w:rPr>
          <w:b/>
          <w:color w:val="0A2240"/>
          <w:sz w:val="21"/>
        </w:rPr>
        <w:t>Power of Attorney</w:t>
      </w:r>
    </w:p>
    <w:p>
      <w:pPr>
        <w:spacing w:after="80"/>
        <w:ind w:left="0"/>
      </w:pPr>
      <w:r>
        <w:rPr>
          <w:color w:val="334155"/>
          <w:sz w:val="20"/>
        </w:rPr>
        <w:t>A legal document authorizing one person to act on another's behalf in property matters.</w:t>
      </w:r>
    </w:p>
    <w:p>
      <w:pPr>
        <w:spacing w:before="120" w:after="20"/>
      </w:pPr>
      <w:r>
        <w:rPr>
          <w:b/>
          <w:color w:val="0A2240"/>
          <w:sz w:val="21"/>
        </w:rPr>
        <w:t>Promissory Note</w:t>
      </w:r>
    </w:p>
    <w:p>
      <w:pPr>
        <w:spacing w:after="80"/>
        <w:ind w:left="0"/>
      </w:pPr>
      <w:r>
        <w:rPr>
          <w:color w:val="334155"/>
          <w:sz w:val="20"/>
        </w:rPr>
        <w:t>A signed document containing the borrower's written promise to repay a loan.</w:t>
      </w:r>
    </w:p>
    <w:p>
      <w:pPr>
        <w:spacing w:before="120" w:after="20"/>
      </w:pPr>
      <w:r>
        <w:rPr>
          <w:b/>
          <w:color w:val="0A2240"/>
          <w:sz w:val="21"/>
        </w:rPr>
        <w:t>Quiet Title Action</w:t>
      </w:r>
    </w:p>
    <w:p>
      <w:pPr>
        <w:spacing w:after="80"/>
        <w:ind w:left="0"/>
      </w:pPr>
      <w:r>
        <w:rPr>
          <w:color w:val="334155"/>
          <w:sz w:val="20"/>
        </w:rPr>
        <w:t>A lawsuit to resolve disputes or clear defects in a property's title.</w:t>
      </w:r>
    </w:p>
    <w:p>
      <w:pPr>
        <w:spacing w:before="120" w:after="20"/>
      </w:pPr>
      <w:r>
        <w:rPr>
          <w:b/>
          <w:color w:val="0A2240"/>
          <w:sz w:val="21"/>
        </w:rPr>
        <w:t>Restrictive Covenant</w:t>
      </w:r>
    </w:p>
    <w:p>
      <w:pPr>
        <w:spacing w:after="80"/>
        <w:ind w:left="0"/>
      </w:pPr>
      <w:r>
        <w:rPr>
          <w:color w:val="334155"/>
          <w:sz w:val="20"/>
        </w:rPr>
        <w:t>A private deed restriction limiting how a property may be used.</w:t>
      </w:r>
    </w:p>
    <w:p>
      <w:pPr>
        <w:spacing w:before="120" w:after="20"/>
      </w:pPr>
      <w:r>
        <w:rPr>
          <w:b/>
          <w:color w:val="0A2240"/>
          <w:sz w:val="21"/>
        </w:rPr>
        <w:t>Sheriff's Deed</w:t>
      </w:r>
    </w:p>
    <w:p>
      <w:pPr>
        <w:spacing w:after="80"/>
        <w:ind w:left="0"/>
      </w:pPr>
      <w:r>
        <w:rPr>
          <w:color w:val="334155"/>
          <w:sz w:val="20"/>
        </w:rPr>
        <w:t>A deed issued after a court-ordered sale, often following foreclosure.</w:t>
      </w:r>
    </w:p>
    <w:p>
      <w:pPr>
        <w:spacing w:before="120" w:after="20"/>
      </w:pPr>
      <w:r>
        <w:rPr>
          <w:b/>
          <w:color w:val="0A2240"/>
          <w:sz w:val="21"/>
        </w:rPr>
        <w:t>Special Warranty Deed</w:t>
      </w:r>
    </w:p>
    <w:p>
      <w:pPr>
        <w:spacing w:after="80"/>
        <w:ind w:left="0"/>
      </w:pPr>
      <w:r>
        <w:rPr>
          <w:color w:val="334155"/>
          <w:sz w:val="20"/>
        </w:rPr>
        <w:t>A deed warranting only against title defects arising during the seller's ownership.</w:t>
      </w:r>
    </w:p>
    <w:p>
      <w:pPr>
        <w:spacing w:before="120" w:after="20"/>
      </w:pPr>
      <w:r>
        <w:rPr>
          <w:b/>
          <w:color w:val="0A2240"/>
          <w:sz w:val="21"/>
        </w:rPr>
        <w:t>Specific Performance</w:t>
      </w:r>
    </w:p>
    <w:p>
      <w:pPr>
        <w:spacing w:after="80"/>
        <w:ind w:left="0"/>
      </w:pPr>
      <w:r>
        <w:rPr>
          <w:color w:val="334155"/>
          <w:sz w:val="20"/>
        </w:rPr>
        <w:t>A court remedy forcing a party to complete a contract rather than paying damages.</w:t>
      </w:r>
    </w:p>
    <w:p>
      <w:pPr>
        <w:spacing w:before="120" w:after="20"/>
      </w:pPr>
      <w:r>
        <w:rPr>
          <w:b/>
          <w:color w:val="0A2240"/>
          <w:sz w:val="21"/>
        </w:rPr>
        <w:t>Spot Survey</w:t>
      </w:r>
    </w:p>
    <w:p>
      <w:pPr>
        <w:spacing w:after="80"/>
        <w:ind w:left="0"/>
      </w:pPr>
      <w:r>
        <w:rPr>
          <w:color w:val="334155"/>
          <w:sz w:val="20"/>
        </w:rPr>
        <w:t>A focused survey verifying specific features rather than full boundaries.</w:t>
      </w:r>
    </w:p>
    <w:p>
      <w:pPr>
        <w:spacing w:before="120" w:after="20"/>
      </w:pPr>
      <w:r>
        <w:rPr>
          <w:b/>
          <w:color w:val="0A2240"/>
          <w:sz w:val="21"/>
        </w:rPr>
        <w:t>Subrogation</w:t>
      </w:r>
    </w:p>
    <w:p>
      <w:pPr>
        <w:spacing w:after="80"/>
        <w:ind w:left="0"/>
      </w:pPr>
      <w:r>
        <w:rPr>
          <w:color w:val="334155"/>
          <w:sz w:val="20"/>
        </w:rPr>
        <w:t>An insurer's right to step into the shoes of the insured to recover from a third party.</w:t>
      </w:r>
    </w:p>
    <w:p>
      <w:pPr>
        <w:spacing w:before="120" w:after="20"/>
      </w:pPr>
      <w:r>
        <w:rPr>
          <w:b/>
          <w:color w:val="0A2240"/>
          <w:sz w:val="21"/>
        </w:rPr>
        <w:t>Tax Deed</w:t>
      </w:r>
    </w:p>
    <w:p>
      <w:pPr>
        <w:spacing w:after="80"/>
        <w:ind w:left="0"/>
      </w:pPr>
      <w:r>
        <w:rPr>
          <w:color w:val="334155"/>
          <w:sz w:val="20"/>
        </w:rPr>
        <w:t>A deed issued by a government after a property is sold for unpaid taxes.</w:t>
      </w:r>
    </w:p>
    <w:p>
      <w:pPr>
        <w:spacing w:before="120" w:after="20"/>
      </w:pPr>
      <w:r>
        <w:rPr>
          <w:b/>
          <w:color w:val="0A2240"/>
          <w:sz w:val="21"/>
        </w:rPr>
        <w:t>Title</w:t>
      </w:r>
    </w:p>
    <w:p>
      <w:pPr>
        <w:spacing w:after="80"/>
        <w:ind w:left="0"/>
      </w:pPr>
      <w:r>
        <w:rPr>
          <w:color w:val="334155"/>
          <w:sz w:val="20"/>
        </w:rPr>
        <w:t>The legal evidence of ownership of real property.</w:t>
      </w:r>
    </w:p>
    <w:p>
      <w:pPr>
        <w:spacing w:before="120" w:after="20"/>
      </w:pPr>
      <w:r>
        <w:rPr>
          <w:b/>
          <w:color w:val="0A2240"/>
          <w:sz w:val="21"/>
        </w:rPr>
        <w:t>Title Abstract</w:t>
      </w:r>
    </w:p>
    <w:p>
      <w:pPr>
        <w:spacing w:after="80"/>
        <w:ind w:left="0"/>
      </w:pPr>
      <w:r>
        <w:rPr>
          <w:color w:val="334155"/>
          <w:sz w:val="20"/>
        </w:rPr>
        <w:t>A condensed history of all recorded documents affecting a property's title.</w:t>
      </w:r>
    </w:p>
    <w:p>
      <w:pPr>
        <w:spacing w:before="120" w:after="20"/>
      </w:pPr>
      <w:r>
        <w:rPr>
          <w:b/>
          <w:color w:val="0A2240"/>
          <w:sz w:val="21"/>
        </w:rPr>
        <w:t>Title Insurance</w:t>
      </w:r>
    </w:p>
    <w:p>
      <w:pPr>
        <w:spacing w:after="80"/>
        <w:ind w:left="0"/>
      </w:pPr>
      <w:r>
        <w:rPr>
          <w:color w:val="334155"/>
          <w:sz w:val="20"/>
        </w:rPr>
        <w:t>Insurance protecting buyers and lenders against losses from title defects.</w:t>
      </w:r>
    </w:p>
    <w:p>
      <w:pPr>
        <w:spacing w:before="120" w:after="20"/>
      </w:pPr>
      <w:r>
        <w:rPr>
          <w:b/>
          <w:color w:val="0A2240"/>
          <w:sz w:val="21"/>
        </w:rPr>
        <w:t>Title Search</w:t>
      </w:r>
    </w:p>
    <w:p>
      <w:pPr>
        <w:spacing w:after="80"/>
        <w:ind w:left="0"/>
      </w:pPr>
      <w:r>
        <w:rPr>
          <w:color w:val="334155"/>
          <w:sz w:val="20"/>
        </w:rPr>
        <w:t>An examination of public records to confirm a property's ownership history and outstanding claims.</w:t>
      </w:r>
    </w:p>
    <w:p>
      <w:pPr>
        <w:spacing w:before="120" w:after="20"/>
      </w:pPr>
      <w:r>
        <w:rPr>
          <w:b/>
          <w:color w:val="0A2240"/>
          <w:sz w:val="21"/>
        </w:rPr>
        <w:t>TODD</w:t>
      </w:r>
    </w:p>
    <w:p>
      <w:pPr>
        <w:spacing w:after="80"/>
        <w:ind w:left="0"/>
      </w:pPr>
      <w:r>
        <w:rPr>
          <w:color w:val="334155"/>
          <w:sz w:val="20"/>
        </w:rPr>
        <w:t>Transfer-on-Death Deed — a non-probate deed that takes effect only upon the owner's death.</w:t>
      </w:r>
    </w:p>
    <w:p>
      <w:pPr>
        <w:spacing w:before="120" w:after="20"/>
      </w:pPr>
      <w:r>
        <w:rPr>
          <w:b/>
          <w:color w:val="0A2240"/>
          <w:sz w:val="21"/>
        </w:rPr>
        <w:t>Trust Beneficiary</w:t>
      </w:r>
    </w:p>
    <w:p>
      <w:pPr>
        <w:spacing w:after="80"/>
        <w:ind w:left="0"/>
      </w:pPr>
      <w:r>
        <w:rPr>
          <w:color w:val="334155"/>
          <w:sz w:val="20"/>
        </w:rPr>
        <w:t>A person entitled to receive property held in trust.</w:t>
      </w:r>
    </w:p>
    <w:p>
      <w:pPr>
        <w:spacing w:before="120" w:after="20"/>
      </w:pPr>
      <w:r>
        <w:rPr>
          <w:b/>
          <w:color w:val="0A2240"/>
          <w:sz w:val="21"/>
        </w:rPr>
        <w:t>Trust Deed</w:t>
      </w:r>
    </w:p>
    <w:p>
      <w:pPr>
        <w:spacing w:after="80"/>
        <w:ind w:left="0"/>
      </w:pPr>
      <w:r>
        <w:rPr>
          <w:color w:val="334155"/>
          <w:sz w:val="20"/>
        </w:rPr>
        <w:t>An alternative to a mortgage in some states, transferring title to a trustee until the loan is repaid.</w:t>
      </w:r>
    </w:p>
    <w:p>
      <w:r>
        <w:rPr>
          <w:b/>
          <w:color w:val="B22234"/>
          <w:sz w:val="28"/>
        </w:rPr>
        <w:t>Mortgage Loans</w:t>
      </w:r>
    </w:p>
    <w:p>
      <w:pPr>
        <w:spacing w:before="120" w:after="20"/>
      </w:pPr>
      <w:r>
        <w:rPr>
          <w:b/>
          <w:color w:val="0A2240"/>
          <w:sz w:val="21"/>
        </w:rPr>
        <w:t>Acceleration Clause</w:t>
      </w:r>
    </w:p>
    <w:p>
      <w:pPr>
        <w:spacing w:after="80"/>
        <w:ind w:left="0"/>
      </w:pPr>
      <w:r>
        <w:rPr>
          <w:color w:val="334155"/>
          <w:sz w:val="20"/>
        </w:rPr>
        <w:t>A loan provision allowing the lender to demand full repayment upon default.</w:t>
      </w:r>
    </w:p>
    <w:p>
      <w:pPr>
        <w:spacing w:before="120" w:after="20"/>
      </w:pPr>
      <w:r>
        <w:rPr>
          <w:b/>
          <w:color w:val="0A2240"/>
          <w:sz w:val="21"/>
        </w:rPr>
        <w:t>Adjustable-Rate Mortgage (ARM)</w:t>
      </w:r>
    </w:p>
    <w:p>
      <w:pPr>
        <w:spacing w:after="80"/>
        <w:ind w:left="0"/>
      </w:pPr>
      <w:r>
        <w:rPr>
          <w:color w:val="334155"/>
          <w:sz w:val="20"/>
        </w:rPr>
        <w:t>A mortgage with an interest rate that changes periodically based on a benchmark index.</w:t>
      </w:r>
    </w:p>
    <w:p>
      <w:pPr>
        <w:spacing w:before="120" w:after="20"/>
      </w:pPr>
      <w:r>
        <w:rPr>
          <w:b/>
          <w:color w:val="0A2240"/>
          <w:sz w:val="21"/>
        </w:rPr>
        <w:t>Amortization</w:t>
      </w:r>
    </w:p>
    <w:p>
      <w:pPr>
        <w:spacing w:after="80"/>
        <w:ind w:left="0"/>
      </w:pPr>
      <w:r>
        <w:rPr>
          <w:color w:val="334155"/>
          <w:sz w:val="20"/>
        </w:rPr>
        <w:t>The schedule of equal payments that gradually reduce the principal and interest over a loan's term.</w:t>
      </w:r>
    </w:p>
    <w:p>
      <w:pPr>
        <w:spacing w:before="120" w:after="20"/>
      </w:pPr>
      <w:r>
        <w:rPr>
          <w:b/>
          <w:color w:val="0A2240"/>
          <w:sz w:val="21"/>
        </w:rPr>
        <w:t>Annual Percentage Rate (APR)</w:t>
      </w:r>
    </w:p>
    <w:p>
      <w:pPr>
        <w:spacing w:after="80"/>
        <w:ind w:left="0"/>
      </w:pPr>
      <w:r>
        <w:rPr>
          <w:color w:val="334155"/>
          <w:sz w:val="20"/>
        </w:rPr>
        <w:t>The yearly cost of a loan including interest and fees, expressed as a percentage.</w:t>
      </w:r>
    </w:p>
    <w:p>
      <w:pPr>
        <w:spacing w:before="120" w:after="20"/>
      </w:pPr>
      <w:r>
        <w:rPr>
          <w:b/>
          <w:color w:val="0A2240"/>
          <w:sz w:val="21"/>
        </w:rPr>
        <w:t>Assumable Mortgage</w:t>
      </w:r>
    </w:p>
    <w:p>
      <w:pPr>
        <w:spacing w:after="80"/>
        <w:ind w:left="0"/>
      </w:pPr>
      <w:r>
        <w:rPr>
          <w:color w:val="334155"/>
          <w:sz w:val="20"/>
        </w:rPr>
        <w:t>A mortgage that a buyer can take over from the seller, often at the seller's existing rate.</w:t>
      </w:r>
    </w:p>
    <w:p>
      <w:pPr>
        <w:spacing w:before="120" w:after="20"/>
      </w:pPr>
      <w:r>
        <w:rPr>
          <w:b/>
          <w:color w:val="0A2240"/>
          <w:sz w:val="21"/>
        </w:rPr>
        <w:t>Balloon Mortgage</w:t>
      </w:r>
    </w:p>
    <w:p>
      <w:pPr>
        <w:spacing w:after="80"/>
        <w:ind w:left="0"/>
      </w:pPr>
      <w:r>
        <w:rPr>
          <w:color w:val="334155"/>
          <w:sz w:val="20"/>
        </w:rPr>
        <w:t>A loan with smaller initial payments and a large final payment of the remaining balance.</w:t>
      </w:r>
    </w:p>
    <w:p>
      <w:pPr>
        <w:spacing w:before="120" w:after="20"/>
      </w:pPr>
      <w:r>
        <w:rPr>
          <w:b/>
          <w:color w:val="0A2240"/>
          <w:sz w:val="21"/>
        </w:rPr>
        <w:t>Bank Statement Loan</w:t>
      </w:r>
    </w:p>
    <w:p>
      <w:pPr>
        <w:spacing w:after="80"/>
        <w:ind w:left="0"/>
      </w:pPr>
      <w:r>
        <w:rPr>
          <w:color w:val="334155"/>
          <w:sz w:val="20"/>
        </w:rPr>
        <w:t>A non-QM loan that qualifies borrowers using bank statements instead of tax returns.</w:t>
      </w:r>
    </w:p>
    <w:p>
      <w:pPr>
        <w:spacing w:before="120" w:after="20"/>
      </w:pPr>
      <w:r>
        <w:rPr>
          <w:b/>
          <w:color w:val="0A2240"/>
          <w:sz w:val="21"/>
        </w:rPr>
        <w:t>Beneficiary (Trust Deed)</w:t>
      </w:r>
    </w:p>
    <w:p>
      <w:pPr>
        <w:spacing w:after="80"/>
        <w:ind w:left="0"/>
      </w:pPr>
      <w:r>
        <w:rPr>
          <w:color w:val="334155"/>
          <w:sz w:val="20"/>
        </w:rPr>
        <w:t>The lender named in a deed of trust who benefits from the security interest.</w:t>
      </w:r>
    </w:p>
    <w:p>
      <w:pPr>
        <w:spacing w:before="120" w:after="20"/>
      </w:pPr>
      <w:r>
        <w:rPr>
          <w:b/>
          <w:color w:val="0A2240"/>
          <w:sz w:val="21"/>
        </w:rPr>
        <w:t>Blanket Mortgage</w:t>
      </w:r>
    </w:p>
    <w:p>
      <w:pPr>
        <w:spacing w:after="80"/>
        <w:ind w:left="0"/>
      </w:pPr>
      <w:r>
        <w:rPr>
          <w:color w:val="334155"/>
          <w:sz w:val="20"/>
        </w:rPr>
        <w:t>A single mortgage covering multiple properties.</w:t>
      </w:r>
    </w:p>
    <w:p>
      <w:pPr>
        <w:spacing w:before="120" w:after="20"/>
      </w:pPr>
      <w:r>
        <w:rPr>
          <w:b/>
          <w:color w:val="0A2240"/>
          <w:sz w:val="21"/>
        </w:rPr>
        <w:t>Buydown</w:t>
      </w:r>
    </w:p>
    <w:p>
      <w:pPr>
        <w:spacing w:after="80"/>
        <w:ind w:left="0"/>
      </w:pPr>
      <w:r>
        <w:rPr>
          <w:color w:val="334155"/>
          <w:sz w:val="20"/>
        </w:rPr>
        <w:t>Prepaying interest at closing to temporarily reduce the loan rate.</w:t>
      </w:r>
    </w:p>
    <w:p>
      <w:pPr>
        <w:spacing w:before="120" w:after="20"/>
      </w:pPr>
      <w:r>
        <w:rPr>
          <w:b/>
          <w:color w:val="0A2240"/>
          <w:sz w:val="21"/>
        </w:rPr>
        <w:t>Cash-Out Refinance</w:t>
      </w:r>
    </w:p>
    <w:p>
      <w:pPr>
        <w:spacing w:after="80"/>
        <w:ind w:left="0"/>
      </w:pPr>
      <w:r>
        <w:rPr>
          <w:color w:val="334155"/>
          <w:sz w:val="20"/>
        </w:rPr>
        <w:t>A refinance for more than the existing loan balance, with the difference paid in cash to the borrower.</w:t>
      </w:r>
    </w:p>
    <w:p>
      <w:pPr>
        <w:spacing w:before="120" w:after="20"/>
      </w:pPr>
      <w:r>
        <w:rPr>
          <w:b/>
          <w:color w:val="0A2240"/>
          <w:sz w:val="21"/>
        </w:rPr>
        <w:t>Closing the Loan</w:t>
      </w:r>
    </w:p>
    <w:p>
      <w:pPr>
        <w:spacing w:after="80"/>
        <w:ind w:left="0"/>
      </w:pPr>
      <w:r>
        <w:rPr>
          <w:color w:val="334155"/>
          <w:sz w:val="20"/>
        </w:rPr>
        <w:t>The point at which all loan documents are signed and funds disbursed.</w:t>
      </w:r>
    </w:p>
    <w:p>
      <w:pPr>
        <w:spacing w:before="120" w:after="20"/>
      </w:pPr>
      <w:r>
        <w:rPr>
          <w:b/>
          <w:color w:val="0A2240"/>
          <w:sz w:val="21"/>
        </w:rPr>
        <w:t>Conforming Loan</w:t>
      </w:r>
    </w:p>
    <w:p>
      <w:pPr>
        <w:spacing w:after="80"/>
        <w:ind w:left="0"/>
      </w:pPr>
      <w:r>
        <w:rPr>
          <w:color w:val="334155"/>
          <w:sz w:val="20"/>
        </w:rPr>
        <w:t>A mortgage that meets the size and underwriting guidelines set by Fannie Mae and Freddie Mac.</w:t>
      </w:r>
    </w:p>
    <w:p>
      <w:pPr>
        <w:spacing w:before="120" w:after="20"/>
      </w:pPr>
      <w:r>
        <w:rPr>
          <w:b/>
          <w:color w:val="0A2240"/>
          <w:sz w:val="21"/>
        </w:rPr>
        <w:t>Conventional Loan</w:t>
      </w:r>
    </w:p>
    <w:p>
      <w:pPr>
        <w:spacing w:after="80"/>
        <w:ind w:left="0"/>
      </w:pPr>
      <w:r>
        <w:rPr>
          <w:color w:val="334155"/>
          <w:sz w:val="20"/>
        </w:rPr>
        <w:t>A mortgage not insured or guaranteed by a federal government agency.</w:t>
      </w:r>
    </w:p>
    <w:p>
      <w:pPr>
        <w:spacing w:before="120" w:after="20"/>
      </w:pPr>
      <w:r>
        <w:rPr>
          <w:b/>
          <w:color w:val="0A2240"/>
          <w:sz w:val="21"/>
        </w:rPr>
        <w:t>Correspondent Lender</w:t>
      </w:r>
    </w:p>
    <w:p>
      <w:pPr>
        <w:spacing w:after="80"/>
        <w:ind w:left="0"/>
      </w:pPr>
      <w:r>
        <w:rPr>
          <w:color w:val="334155"/>
          <w:sz w:val="20"/>
        </w:rPr>
        <w:t>A lender that originates and funds loans then sells them to investors.</w:t>
      </w:r>
    </w:p>
    <w:p>
      <w:pPr>
        <w:spacing w:before="120" w:after="20"/>
      </w:pPr>
      <w:r>
        <w:rPr>
          <w:b/>
          <w:color w:val="0A2240"/>
          <w:sz w:val="21"/>
        </w:rPr>
        <w:t>Deferment</w:t>
      </w:r>
    </w:p>
    <w:p>
      <w:pPr>
        <w:spacing w:after="80"/>
        <w:ind w:left="0"/>
      </w:pPr>
      <w:r>
        <w:rPr>
          <w:color w:val="334155"/>
          <w:sz w:val="20"/>
        </w:rPr>
        <w:t>An arrangement that moves missed payments to the end of the loan term.</w:t>
      </w:r>
    </w:p>
    <w:p>
      <w:pPr>
        <w:spacing w:before="120" w:after="20"/>
      </w:pPr>
      <w:r>
        <w:rPr>
          <w:b/>
          <w:color w:val="0A2240"/>
          <w:sz w:val="21"/>
        </w:rPr>
        <w:t>DPA Program</w:t>
      </w:r>
    </w:p>
    <w:p>
      <w:pPr>
        <w:spacing w:after="80"/>
        <w:ind w:left="0"/>
      </w:pPr>
      <w:r>
        <w:rPr>
          <w:color w:val="334155"/>
          <w:sz w:val="20"/>
        </w:rPr>
        <w:t>Down Payment Assistance — government or nonprofit programs helping cover the down payment.</w:t>
      </w:r>
    </w:p>
    <w:p>
      <w:pPr>
        <w:spacing w:before="120" w:after="20"/>
      </w:pPr>
      <w:r>
        <w:rPr>
          <w:b/>
          <w:color w:val="0A2240"/>
          <w:sz w:val="21"/>
        </w:rPr>
        <w:t>DSCR Loan</w:t>
      </w:r>
    </w:p>
    <w:p>
      <w:pPr>
        <w:spacing w:after="80"/>
        <w:ind w:left="0"/>
      </w:pPr>
      <w:r>
        <w:rPr>
          <w:color w:val="334155"/>
          <w:sz w:val="20"/>
        </w:rPr>
        <w:t>An investment-property loan qualified by the property's debt-service coverage ratio, not borrower income.</w:t>
      </w:r>
    </w:p>
    <w:p>
      <w:pPr>
        <w:spacing w:before="120" w:after="20"/>
      </w:pPr>
      <w:r>
        <w:rPr>
          <w:b/>
          <w:color w:val="0A2240"/>
          <w:sz w:val="21"/>
        </w:rPr>
        <w:t>Due-on-Sale Clause</w:t>
      </w:r>
    </w:p>
    <w:p>
      <w:pPr>
        <w:spacing w:after="80"/>
        <w:ind w:left="0"/>
      </w:pPr>
      <w:r>
        <w:rPr>
          <w:color w:val="334155"/>
          <w:sz w:val="20"/>
        </w:rPr>
        <w:t>A loan provision requiring full repayment when the property is sold.</w:t>
      </w:r>
    </w:p>
    <w:p>
      <w:pPr>
        <w:spacing w:before="120" w:after="20"/>
      </w:pPr>
      <w:r>
        <w:rPr>
          <w:b/>
          <w:color w:val="0A2240"/>
          <w:sz w:val="21"/>
        </w:rPr>
        <w:t>FHA Loan</w:t>
      </w:r>
    </w:p>
    <w:p>
      <w:pPr>
        <w:spacing w:after="80"/>
        <w:ind w:left="0"/>
      </w:pPr>
      <w:r>
        <w:rPr>
          <w:color w:val="334155"/>
          <w:sz w:val="20"/>
        </w:rPr>
        <w:t>A mortgage insured by the Federal Housing Administration with lower down-payment requirements.</w:t>
      </w:r>
    </w:p>
    <w:p>
      <w:pPr>
        <w:spacing w:before="120" w:after="20"/>
      </w:pPr>
      <w:r>
        <w:rPr>
          <w:b/>
          <w:color w:val="0A2240"/>
          <w:sz w:val="21"/>
        </w:rPr>
        <w:t>Fixed-Rate Mortgage</w:t>
      </w:r>
    </w:p>
    <w:p>
      <w:pPr>
        <w:spacing w:after="80"/>
        <w:ind w:left="0"/>
      </w:pPr>
      <w:r>
        <w:rPr>
          <w:color w:val="334155"/>
          <w:sz w:val="20"/>
        </w:rPr>
        <w:t>A loan whose interest rate remains the same for the entire term.</w:t>
      </w:r>
    </w:p>
    <w:p>
      <w:pPr>
        <w:spacing w:before="120" w:after="20"/>
      </w:pPr>
      <w:r>
        <w:rPr>
          <w:b/>
          <w:color w:val="0A2240"/>
          <w:sz w:val="21"/>
        </w:rPr>
        <w:t>Float-Down Option</w:t>
      </w:r>
    </w:p>
    <w:p>
      <w:pPr>
        <w:spacing w:after="80"/>
        <w:ind w:left="0"/>
      </w:pPr>
      <w:r>
        <w:rPr>
          <w:color w:val="334155"/>
          <w:sz w:val="20"/>
        </w:rPr>
        <w:t>A provision allowing the borrower to reduce the locked rate if market rates fall.</w:t>
      </w:r>
    </w:p>
    <w:p>
      <w:pPr>
        <w:spacing w:before="120" w:after="20"/>
      </w:pPr>
      <w:r>
        <w:rPr>
          <w:b/>
          <w:color w:val="0A2240"/>
          <w:sz w:val="21"/>
        </w:rPr>
        <w:t>Forbearance</w:t>
      </w:r>
    </w:p>
    <w:p>
      <w:pPr>
        <w:spacing w:after="80"/>
        <w:ind w:left="0"/>
      </w:pPr>
      <w:r>
        <w:rPr>
          <w:color w:val="334155"/>
          <w:sz w:val="20"/>
        </w:rPr>
        <w:t>A temporary pause or reduction in mortgage payments granted by a lender.</w:t>
      </w:r>
    </w:p>
    <w:p>
      <w:pPr>
        <w:spacing w:before="120" w:after="20"/>
      </w:pPr>
      <w:r>
        <w:rPr>
          <w:b/>
          <w:color w:val="0A2240"/>
          <w:sz w:val="21"/>
        </w:rPr>
        <w:t>Funder</w:t>
      </w:r>
    </w:p>
    <w:p>
      <w:pPr>
        <w:spacing w:after="80"/>
        <w:ind w:left="0"/>
      </w:pPr>
      <w:r>
        <w:rPr>
          <w:color w:val="334155"/>
          <w:sz w:val="20"/>
        </w:rPr>
        <w:t>The lender's representative who releases loan funds at closing once conditions are met.</w:t>
      </w:r>
    </w:p>
    <w:p>
      <w:pPr>
        <w:spacing w:before="120" w:after="20"/>
      </w:pPr>
      <w:r>
        <w:rPr>
          <w:b/>
          <w:color w:val="0A2240"/>
          <w:sz w:val="21"/>
        </w:rPr>
        <w:t>HELOC</w:t>
      </w:r>
    </w:p>
    <w:p>
      <w:pPr>
        <w:spacing w:after="80"/>
        <w:ind w:left="0"/>
      </w:pPr>
      <w:r>
        <w:rPr>
          <w:color w:val="334155"/>
          <w:sz w:val="20"/>
        </w:rPr>
        <w:t>Home Equity Line of Credit — a revolving credit line secured by the equity in a home.</w:t>
      </w:r>
    </w:p>
    <w:p>
      <w:pPr>
        <w:spacing w:before="120" w:after="20"/>
      </w:pPr>
      <w:r>
        <w:rPr>
          <w:b/>
          <w:color w:val="0A2240"/>
          <w:sz w:val="21"/>
        </w:rPr>
        <w:t>High-Balance Loan</w:t>
      </w:r>
    </w:p>
    <w:p>
      <w:pPr>
        <w:spacing w:after="80"/>
        <w:ind w:left="0"/>
      </w:pPr>
      <w:r>
        <w:rPr>
          <w:color w:val="334155"/>
          <w:sz w:val="20"/>
        </w:rPr>
        <w:t>A conforming loan exceeding the standard limit in high-cost areas.</w:t>
      </w:r>
    </w:p>
    <w:p>
      <w:pPr>
        <w:spacing w:before="120" w:after="20"/>
      </w:pPr>
      <w:r>
        <w:rPr>
          <w:b/>
          <w:color w:val="0A2240"/>
          <w:sz w:val="21"/>
        </w:rPr>
        <w:t>Home Equity Loan</w:t>
      </w:r>
    </w:p>
    <w:p>
      <w:pPr>
        <w:spacing w:after="80"/>
        <w:ind w:left="0"/>
      </w:pPr>
      <w:r>
        <w:rPr>
          <w:color w:val="334155"/>
          <w:sz w:val="20"/>
        </w:rPr>
        <w:t>A lump-sum second mortgage secured by home equity, typically at a fixed rate.</w:t>
      </w:r>
    </w:p>
    <w:p>
      <w:pPr>
        <w:spacing w:before="120" w:after="20"/>
      </w:pPr>
      <w:r>
        <w:rPr>
          <w:b/>
          <w:color w:val="0A2240"/>
          <w:sz w:val="21"/>
        </w:rPr>
        <w:t>Hybrid ARM</w:t>
      </w:r>
    </w:p>
    <w:p>
      <w:pPr>
        <w:spacing w:after="80"/>
        <w:ind w:left="0"/>
      </w:pPr>
      <w:r>
        <w:rPr>
          <w:color w:val="334155"/>
          <w:sz w:val="20"/>
        </w:rPr>
        <w:t>A loan with a fixed rate for an initial period (3, 5, 7, or 10 years) then adjusts.</w:t>
      </w:r>
    </w:p>
    <w:p>
      <w:pPr>
        <w:spacing w:before="120" w:after="20"/>
      </w:pPr>
      <w:r>
        <w:rPr>
          <w:b/>
          <w:color w:val="0A2240"/>
          <w:sz w:val="21"/>
        </w:rPr>
        <w:t>Interest Rate</w:t>
      </w:r>
    </w:p>
    <w:p>
      <w:pPr>
        <w:spacing w:after="80"/>
        <w:ind w:left="0"/>
      </w:pPr>
      <w:r>
        <w:rPr>
          <w:color w:val="334155"/>
          <w:sz w:val="20"/>
        </w:rPr>
        <w:t>The percentage charged by a lender for borrowing money, expressed annually.</w:t>
      </w:r>
    </w:p>
    <w:p>
      <w:pPr>
        <w:spacing w:before="120" w:after="20"/>
      </w:pPr>
      <w:r>
        <w:rPr>
          <w:b/>
          <w:color w:val="0A2240"/>
          <w:sz w:val="21"/>
        </w:rPr>
        <w:t>Interest-Only Loan</w:t>
      </w:r>
    </w:p>
    <w:p>
      <w:pPr>
        <w:spacing w:after="80"/>
        <w:ind w:left="0"/>
      </w:pPr>
      <w:r>
        <w:rPr>
          <w:color w:val="334155"/>
          <w:sz w:val="20"/>
        </w:rPr>
        <w:t>A loan where the borrower pays only interest for a period before principal payments begin.</w:t>
      </w:r>
    </w:p>
    <w:p>
      <w:pPr>
        <w:spacing w:before="120" w:after="20"/>
      </w:pPr>
      <w:r>
        <w:rPr>
          <w:b/>
          <w:color w:val="0A2240"/>
          <w:sz w:val="21"/>
        </w:rPr>
        <w:t>Jumbo Loan</w:t>
      </w:r>
    </w:p>
    <w:p>
      <w:pPr>
        <w:spacing w:after="80"/>
        <w:ind w:left="0"/>
      </w:pPr>
      <w:r>
        <w:rPr>
          <w:color w:val="334155"/>
          <w:sz w:val="20"/>
        </w:rPr>
        <w:t>A mortgage that exceeds the conforming loan limits and is therefore non-conforming.</w:t>
      </w:r>
    </w:p>
    <w:p>
      <w:pPr>
        <w:spacing w:before="120" w:after="20"/>
      </w:pPr>
      <w:r>
        <w:rPr>
          <w:b/>
          <w:color w:val="0A2240"/>
          <w:sz w:val="21"/>
        </w:rPr>
        <w:t>Lender Credit</w:t>
      </w:r>
    </w:p>
    <w:p>
      <w:pPr>
        <w:spacing w:after="80"/>
        <w:ind w:left="0"/>
      </w:pPr>
      <w:r>
        <w:rPr>
          <w:color w:val="334155"/>
          <w:sz w:val="20"/>
        </w:rPr>
        <w:t>Money the lender pays toward closing costs in exchange for a higher interest rate.</w:t>
      </w:r>
    </w:p>
    <w:p>
      <w:pPr>
        <w:spacing w:before="120" w:after="20"/>
      </w:pPr>
      <w:r>
        <w:rPr>
          <w:b/>
          <w:color w:val="0A2240"/>
          <w:sz w:val="21"/>
        </w:rPr>
        <w:t>Loan Application (1003)</w:t>
      </w:r>
    </w:p>
    <w:p>
      <w:pPr>
        <w:spacing w:after="80"/>
        <w:ind w:left="0"/>
      </w:pPr>
      <w:r>
        <w:rPr>
          <w:color w:val="334155"/>
          <w:sz w:val="20"/>
        </w:rPr>
        <w:t>The standardized residential loan application form used industry-wide.</w:t>
      </w:r>
    </w:p>
    <w:p>
      <w:pPr>
        <w:spacing w:before="120" w:after="20"/>
      </w:pPr>
      <w:r>
        <w:rPr>
          <w:b/>
          <w:color w:val="0A2240"/>
          <w:sz w:val="21"/>
        </w:rPr>
        <w:t>Loan Limit</w:t>
      </w:r>
    </w:p>
    <w:p>
      <w:pPr>
        <w:spacing w:after="80"/>
        <w:ind w:left="0"/>
      </w:pPr>
      <w:r>
        <w:rPr>
          <w:color w:val="334155"/>
          <w:sz w:val="20"/>
        </w:rPr>
        <w:t>The maximum loan amount a lender or program will fund — varies by area and loan type.</w:t>
      </w:r>
    </w:p>
    <w:p>
      <w:pPr>
        <w:spacing w:before="120" w:after="20"/>
      </w:pPr>
      <w:r>
        <w:rPr>
          <w:b/>
          <w:color w:val="0A2240"/>
          <w:sz w:val="21"/>
        </w:rPr>
        <w:t>Loan Modification</w:t>
      </w:r>
    </w:p>
    <w:p>
      <w:pPr>
        <w:spacing w:after="80"/>
        <w:ind w:left="0"/>
      </w:pPr>
      <w:r>
        <w:rPr>
          <w:color w:val="334155"/>
          <w:sz w:val="20"/>
        </w:rPr>
        <w:t>A permanent change to mortgage terms (rate, term, principal) to help a struggling borrower.</w:t>
      </w:r>
    </w:p>
    <w:p>
      <w:pPr>
        <w:spacing w:before="120" w:after="20"/>
      </w:pPr>
      <w:r>
        <w:rPr>
          <w:b/>
          <w:color w:val="0A2240"/>
          <w:sz w:val="21"/>
        </w:rPr>
        <w:t>Loan Officer (LO)</w:t>
      </w:r>
    </w:p>
    <w:p>
      <w:pPr>
        <w:spacing w:after="80"/>
        <w:ind w:left="0"/>
      </w:pPr>
      <w:r>
        <w:rPr>
          <w:color w:val="334155"/>
          <w:sz w:val="20"/>
        </w:rPr>
        <w:t>The licensed professional who guides borrowers through the mortgage application process.</w:t>
      </w:r>
    </w:p>
    <w:p>
      <w:pPr>
        <w:spacing w:before="120" w:after="20"/>
      </w:pPr>
      <w:r>
        <w:rPr>
          <w:b/>
          <w:color w:val="0A2240"/>
          <w:sz w:val="21"/>
        </w:rPr>
        <w:t>Loan Servicing</w:t>
      </w:r>
    </w:p>
    <w:p>
      <w:pPr>
        <w:spacing w:after="80"/>
        <w:ind w:left="0"/>
      </w:pPr>
      <w:r>
        <w:rPr>
          <w:color w:val="334155"/>
          <w:sz w:val="20"/>
        </w:rPr>
        <w:t>The administration of a mortgage after origination — collecting payments, handling escrow, and reporting.</w:t>
      </w:r>
    </w:p>
    <w:p>
      <w:pPr>
        <w:spacing w:before="120" w:after="20"/>
      </w:pPr>
      <w:r>
        <w:rPr>
          <w:b/>
          <w:color w:val="0A2240"/>
          <w:sz w:val="21"/>
        </w:rPr>
        <w:t>Loan Term</w:t>
      </w:r>
    </w:p>
    <w:p>
      <w:pPr>
        <w:spacing w:after="80"/>
        <w:ind w:left="0"/>
      </w:pPr>
      <w:r>
        <w:rPr>
          <w:color w:val="334155"/>
          <w:sz w:val="20"/>
        </w:rPr>
        <w:t>The length of time over which a mortgage is repaid, commonly 15, 20, or 30 years.</w:t>
      </w:r>
    </w:p>
    <w:p>
      <w:pPr>
        <w:spacing w:before="120" w:after="20"/>
      </w:pPr>
      <w:r>
        <w:rPr>
          <w:b/>
          <w:color w:val="0A2240"/>
          <w:sz w:val="21"/>
        </w:rPr>
        <w:t>Lock Extension</w:t>
      </w:r>
    </w:p>
    <w:p>
      <w:pPr>
        <w:spacing w:after="80"/>
        <w:ind w:left="0"/>
      </w:pPr>
      <w:r>
        <w:rPr>
          <w:color w:val="334155"/>
          <w:sz w:val="20"/>
        </w:rPr>
        <w:t>Pushing the rate-lock expiration further out, typically for a fee.</w:t>
      </w:r>
    </w:p>
    <w:p>
      <w:pPr>
        <w:spacing w:before="120" w:after="20"/>
      </w:pPr>
      <w:r>
        <w:rPr>
          <w:b/>
          <w:color w:val="0A2240"/>
          <w:sz w:val="21"/>
        </w:rPr>
        <w:t>Lock Float</w:t>
      </w:r>
    </w:p>
    <w:p>
      <w:pPr>
        <w:spacing w:after="80"/>
        <w:ind w:left="0"/>
      </w:pPr>
      <w:r>
        <w:rPr>
          <w:color w:val="334155"/>
          <w:sz w:val="20"/>
        </w:rPr>
        <w:t>Choosing not to lock a rate immediately, hoping rates improve before closing.</w:t>
      </w:r>
    </w:p>
    <w:p>
      <w:pPr>
        <w:spacing w:before="120" w:after="20"/>
      </w:pPr>
      <w:r>
        <w:rPr>
          <w:b/>
          <w:color w:val="0A2240"/>
          <w:sz w:val="21"/>
        </w:rPr>
        <w:t>MIP</w:t>
      </w:r>
    </w:p>
    <w:p>
      <w:pPr>
        <w:spacing w:after="80"/>
        <w:ind w:left="0"/>
      </w:pPr>
      <w:r>
        <w:rPr>
          <w:color w:val="334155"/>
          <w:sz w:val="20"/>
        </w:rPr>
        <w:t>Mortgage Insurance Premium — required on FHA loans, often for the life of the loan.</w:t>
      </w:r>
    </w:p>
    <w:p>
      <w:pPr>
        <w:spacing w:before="120" w:after="20"/>
      </w:pPr>
      <w:r>
        <w:rPr>
          <w:b/>
          <w:color w:val="0A2240"/>
          <w:sz w:val="21"/>
        </w:rPr>
        <w:t>Mortgage</w:t>
      </w:r>
    </w:p>
    <w:p>
      <w:pPr>
        <w:spacing w:after="80"/>
        <w:ind w:left="0"/>
      </w:pPr>
      <w:r>
        <w:rPr>
          <w:color w:val="334155"/>
          <w:sz w:val="20"/>
        </w:rPr>
        <w:t>A loan used to finance the purchase of real estate, secured by the property itself.</w:t>
      </w:r>
    </w:p>
    <w:p>
      <w:pPr>
        <w:spacing w:before="120" w:after="20"/>
      </w:pPr>
      <w:r>
        <w:rPr>
          <w:b/>
          <w:color w:val="0A2240"/>
          <w:sz w:val="21"/>
        </w:rPr>
        <w:t>Mortgage Banker</w:t>
      </w:r>
    </w:p>
    <w:p>
      <w:pPr>
        <w:spacing w:after="80"/>
        <w:ind w:left="0"/>
      </w:pPr>
      <w:r>
        <w:rPr>
          <w:color w:val="334155"/>
          <w:sz w:val="20"/>
        </w:rPr>
        <w:t>A direct lender that originates and funds its own loans.</w:t>
      </w:r>
    </w:p>
    <w:p>
      <w:pPr>
        <w:spacing w:before="120" w:after="20"/>
      </w:pPr>
      <w:r>
        <w:rPr>
          <w:b/>
          <w:color w:val="0A2240"/>
          <w:sz w:val="21"/>
        </w:rPr>
        <w:t>Mortgage Broker</w:t>
      </w:r>
    </w:p>
    <w:p>
      <w:pPr>
        <w:spacing w:after="80"/>
        <w:ind w:left="0"/>
      </w:pPr>
      <w:r>
        <w:rPr>
          <w:color w:val="334155"/>
          <w:sz w:val="20"/>
        </w:rPr>
        <w:t>An intermediary who shops multiple lenders to find a borrower the best loan.</w:t>
      </w:r>
    </w:p>
    <w:p>
      <w:pPr>
        <w:spacing w:before="120" w:after="20"/>
      </w:pPr>
      <w:r>
        <w:rPr>
          <w:b/>
          <w:color w:val="0A2240"/>
          <w:sz w:val="21"/>
        </w:rPr>
        <w:t>Mortgage Credit Certificate (MCC)</w:t>
      </w:r>
    </w:p>
    <w:p>
      <w:pPr>
        <w:spacing w:after="80"/>
        <w:ind w:left="0"/>
      </w:pPr>
      <w:r>
        <w:rPr>
          <w:color w:val="334155"/>
          <w:sz w:val="20"/>
        </w:rPr>
        <w:t>A federal tax credit for qualifying low/moderate income homebuyers on a portion of mortgage interest paid.</w:t>
      </w:r>
    </w:p>
    <w:p>
      <w:pPr>
        <w:spacing w:before="120" w:after="20"/>
      </w:pPr>
      <w:r>
        <w:rPr>
          <w:b/>
          <w:color w:val="0A2240"/>
          <w:sz w:val="21"/>
        </w:rPr>
        <w:t>Mortgagee</w:t>
      </w:r>
    </w:p>
    <w:p>
      <w:pPr>
        <w:spacing w:after="80"/>
        <w:ind w:left="0"/>
      </w:pPr>
      <w:r>
        <w:rPr>
          <w:color w:val="334155"/>
          <w:sz w:val="20"/>
        </w:rPr>
        <w:t>The lender holding the mortgage on a property.</w:t>
      </w:r>
    </w:p>
    <w:p>
      <w:pPr>
        <w:spacing w:before="120" w:after="20"/>
      </w:pPr>
      <w:r>
        <w:rPr>
          <w:b/>
          <w:color w:val="0A2240"/>
          <w:sz w:val="21"/>
        </w:rPr>
        <w:t>Mortgagor</w:t>
      </w:r>
    </w:p>
    <w:p>
      <w:pPr>
        <w:spacing w:after="80"/>
        <w:ind w:left="0"/>
      </w:pPr>
      <w:r>
        <w:rPr>
          <w:color w:val="334155"/>
          <w:sz w:val="20"/>
        </w:rPr>
        <w:t>The borrower who pledges property as collateral under a mortgage.</w:t>
      </w:r>
    </w:p>
    <w:p>
      <w:pPr>
        <w:spacing w:before="120" w:after="20"/>
      </w:pPr>
      <w:r>
        <w:rPr>
          <w:b/>
          <w:color w:val="0A2240"/>
          <w:sz w:val="21"/>
        </w:rPr>
        <w:t>Negative Amortization</w:t>
      </w:r>
    </w:p>
    <w:p>
      <w:pPr>
        <w:spacing w:after="80"/>
        <w:ind w:left="0"/>
      </w:pPr>
      <w:r>
        <w:rPr>
          <w:color w:val="334155"/>
          <w:sz w:val="20"/>
        </w:rPr>
        <w:t>When loan payments don't cover interest, causing the balance to grow over time.</w:t>
      </w:r>
    </w:p>
    <w:p>
      <w:pPr>
        <w:spacing w:before="120" w:after="20"/>
      </w:pPr>
      <w:r>
        <w:rPr>
          <w:b/>
          <w:color w:val="0A2240"/>
          <w:sz w:val="21"/>
        </w:rPr>
        <w:t>Non-QM Loan</w:t>
      </w:r>
    </w:p>
    <w:p>
      <w:pPr>
        <w:spacing w:after="80"/>
        <w:ind w:left="0"/>
      </w:pPr>
      <w:r>
        <w:rPr>
          <w:color w:val="334155"/>
          <w:sz w:val="20"/>
        </w:rPr>
        <w:t>A mortgage that doesn't meet the qualified-mortgage standards — often for self-employed borrowers.</w:t>
      </w:r>
    </w:p>
    <w:p>
      <w:pPr>
        <w:spacing w:before="120" w:after="20"/>
      </w:pPr>
      <w:r>
        <w:rPr>
          <w:b/>
          <w:color w:val="0A2240"/>
          <w:sz w:val="21"/>
        </w:rPr>
        <w:t>Origination Fee</w:t>
      </w:r>
    </w:p>
    <w:p>
      <w:pPr>
        <w:spacing w:after="80"/>
        <w:ind w:left="0"/>
      </w:pPr>
      <w:r>
        <w:rPr>
          <w:color w:val="334155"/>
          <w:sz w:val="20"/>
        </w:rPr>
        <w:t>A fee charged by a lender for processing a new loan application.</w:t>
      </w:r>
    </w:p>
    <w:p>
      <w:pPr>
        <w:spacing w:before="120" w:after="20"/>
      </w:pPr>
      <w:r>
        <w:rPr>
          <w:b/>
          <w:color w:val="0A2240"/>
          <w:sz w:val="21"/>
        </w:rPr>
        <w:t>Per Diem Interest</w:t>
      </w:r>
    </w:p>
    <w:p>
      <w:pPr>
        <w:spacing w:after="80"/>
        <w:ind w:left="0"/>
      </w:pPr>
      <w:r>
        <w:rPr>
          <w:color w:val="334155"/>
          <w:sz w:val="20"/>
        </w:rPr>
        <w:t>Prepaid interest from the closing date through the end of the month.</w:t>
      </w:r>
    </w:p>
    <w:p>
      <w:pPr>
        <w:spacing w:before="120" w:after="20"/>
      </w:pPr>
      <w:r>
        <w:rPr>
          <w:b/>
          <w:color w:val="0A2240"/>
          <w:sz w:val="21"/>
        </w:rPr>
        <w:t>Piggyback Loan</w:t>
      </w:r>
    </w:p>
    <w:p>
      <w:pPr>
        <w:spacing w:after="80"/>
        <w:ind w:left="0"/>
      </w:pPr>
      <w:r>
        <w:rPr>
          <w:color w:val="334155"/>
          <w:sz w:val="20"/>
        </w:rPr>
        <w:t>A second loan taken simultaneously with a first mortgage to avoid PMI or jumbo limits (e.g., 80/10/10).</w:t>
      </w:r>
    </w:p>
    <w:p>
      <w:pPr>
        <w:spacing w:before="120" w:after="20"/>
      </w:pPr>
      <w:r>
        <w:rPr>
          <w:b/>
          <w:color w:val="0A2240"/>
          <w:sz w:val="21"/>
        </w:rPr>
        <w:t>PMI</w:t>
      </w:r>
    </w:p>
    <w:p>
      <w:pPr>
        <w:spacing w:after="80"/>
        <w:ind w:left="0"/>
      </w:pPr>
      <w:r>
        <w:rPr>
          <w:color w:val="334155"/>
          <w:sz w:val="20"/>
        </w:rPr>
        <w:t>Private Mortgage Insurance — required on conventional loans with less than 20% down.</w:t>
      </w:r>
    </w:p>
    <w:p>
      <w:pPr>
        <w:spacing w:before="120" w:after="20"/>
      </w:pPr>
      <w:r>
        <w:rPr>
          <w:b/>
          <w:color w:val="0A2240"/>
          <w:sz w:val="21"/>
        </w:rPr>
        <w:t>Points</w:t>
      </w:r>
    </w:p>
    <w:p>
      <w:pPr>
        <w:spacing w:after="80"/>
        <w:ind w:left="0"/>
      </w:pPr>
      <w:r>
        <w:rPr>
          <w:color w:val="334155"/>
          <w:sz w:val="20"/>
        </w:rPr>
        <w:t>Upfront fees paid to the lender at closing; 1 point equals 1% of the loan amount, often used to buy down the rate.</w:t>
      </w:r>
    </w:p>
    <w:p>
      <w:pPr>
        <w:spacing w:before="120" w:after="20"/>
      </w:pPr>
      <w:r>
        <w:rPr>
          <w:b/>
          <w:color w:val="0A2240"/>
          <w:sz w:val="21"/>
        </w:rPr>
        <w:t>Portfolio Loan</w:t>
      </w:r>
    </w:p>
    <w:p>
      <w:pPr>
        <w:spacing w:after="80"/>
        <w:ind w:left="0"/>
      </w:pPr>
      <w:r>
        <w:rPr>
          <w:color w:val="334155"/>
          <w:sz w:val="20"/>
        </w:rPr>
        <w:t>A mortgage a lender keeps on its own books rather than selling to investors.</w:t>
      </w:r>
    </w:p>
    <w:p>
      <w:pPr>
        <w:spacing w:before="120" w:after="20"/>
      </w:pPr>
      <w:r>
        <w:rPr>
          <w:b/>
          <w:color w:val="0A2240"/>
          <w:sz w:val="21"/>
        </w:rPr>
        <w:t>Pre-Approval</w:t>
      </w:r>
    </w:p>
    <w:p>
      <w:pPr>
        <w:spacing w:after="80"/>
        <w:ind w:left="0"/>
      </w:pPr>
      <w:r>
        <w:rPr>
          <w:color w:val="334155"/>
          <w:sz w:val="20"/>
        </w:rPr>
        <w:t>A lender's conditional commitment to lend a specific amount based on verified credit and finances.</w:t>
      </w:r>
    </w:p>
    <w:p>
      <w:pPr>
        <w:spacing w:before="120" w:after="20"/>
      </w:pPr>
      <w:r>
        <w:rPr>
          <w:b/>
          <w:color w:val="0A2240"/>
          <w:sz w:val="21"/>
        </w:rPr>
        <w:t>Pre-Qualification</w:t>
      </w:r>
    </w:p>
    <w:p>
      <w:pPr>
        <w:spacing w:after="80"/>
        <w:ind w:left="0"/>
      </w:pPr>
      <w:r>
        <w:rPr>
          <w:color w:val="334155"/>
          <w:sz w:val="20"/>
        </w:rPr>
        <w:t>An informal estimate of how much a buyer might borrow, based on stated income.</w:t>
      </w:r>
    </w:p>
    <w:p>
      <w:pPr>
        <w:spacing w:before="120" w:after="20"/>
      </w:pPr>
      <w:r>
        <w:rPr>
          <w:b/>
          <w:color w:val="0A2240"/>
          <w:sz w:val="21"/>
        </w:rPr>
        <w:t>Prepayment Penalty</w:t>
      </w:r>
    </w:p>
    <w:p>
      <w:pPr>
        <w:spacing w:after="80"/>
        <w:ind w:left="0"/>
      </w:pPr>
      <w:r>
        <w:rPr>
          <w:color w:val="334155"/>
          <w:sz w:val="20"/>
        </w:rPr>
        <w:t>A fee charged for paying off a loan early — common in some commercial and subprime loans.</w:t>
      </w:r>
    </w:p>
    <w:p>
      <w:pPr>
        <w:spacing w:before="120" w:after="20"/>
      </w:pPr>
      <w:r>
        <w:rPr>
          <w:b/>
          <w:color w:val="0A2240"/>
          <w:sz w:val="21"/>
        </w:rPr>
        <w:t>Principal</w:t>
      </w:r>
    </w:p>
    <w:p>
      <w:pPr>
        <w:spacing w:after="80"/>
        <w:ind w:left="0"/>
      </w:pPr>
      <w:r>
        <w:rPr>
          <w:color w:val="334155"/>
          <w:sz w:val="20"/>
        </w:rPr>
        <w:t>The original loan amount, excluding interest and fees.</w:t>
      </w:r>
    </w:p>
    <w:p>
      <w:pPr>
        <w:spacing w:before="120" w:after="20"/>
      </w:pPr>
      <w:r>
        <w:rPr>
          <w:b/>
          <w:color w:val="0A2240"/>
          <w:sz w:val="21"/>
        </w:rPr>
        <w:t>Processor</w:t>
      </w:r>
    </w:p>
    <w:p>
      <w:pPr>
        <w:spacing w:after="80"/>
        <w:ind w:left="0"/>
      </w:pPr>
      <w:r>
        <w:rPr>
          <w:color w:val="334155"/>
          <w:sz w:val="20"/>
        </w:rPr>
        <w:t>The mortgage team member who assembles and verifies the loan file before underwriting.</w:t>
      </w:r>
    </w:p>
    <w:p>
      <w:pPr>
        <w:spacing w:before="120" w:after="20"/>
      </w:pPr>
      <w:r>
        <w:rPr>
          <w:b/>
          <w:color w:val="0A2240"/>
          <w:sz w:val="21"/>
        </w:rPr>
        <w:t>Rate Lock</w:t>
      </w:r>
    </w:p>
    <w:p>
      <w:pPr>
        <w:spacing w:after="80"/>
        <w:ind w:left="0"/>
      </w:pPr>
      <w:r>
        <w:rPr>
          <w:color w:val="334155"/>
          <w:sz w:val="20"/>
        </w:rPr>
        <w:t>A lender's commitment to hold a specific interest rate for a set period during the loan process.</w:t>
      </w:r>
    </w:p>
    <w:p>
      <w:pPr>
        <w:spacing w:before="120" w:after="20"/>
      </w:pPr>
      <w:r>
        <w:rPr>
          <w:b/>
          <w:color w:val="0A2240"/>
          <w:sz w:val="21"/>
        </w:rPr>
        <w:t>Recasting</w:t>
      </w:r>
    </w:p>
    <w:p>
      <w:pPr>
        <w:spacing w:after="80"/>
        <w:ind w:left="0"/>
      </w:pPr>
      <w:r>
        <w:rPr>
          <w:color w:val="334155"/>
          <w:sz w:val="20"/>
        </w:rPr>
        <w:t>Re-amortizing a mortgage after a large principal payment, lowering monthly payments.</w:t>
      </w:r>
    </w:p>
    <w:p>
      <w:pPr>
        <w:spacing w:before="120" w:after="20"/>
      </w:pPr>
      <w:r>
        <w:rPr>
          <w:b/>
          <w:color w:val="0A2240"/>
          <w:sz w:val="21"/>
        </w:rPr>
        <w:t>Refinance</w:t>
      </w:r>
    </w:p>
    <w:p>
      <w:pPr>
        <w:spacing w:after="80"/>
        <w:ind w:left="0"/>
      </w:pPr>
      <w:r>
        <w:rPr>
          <w:color w:val="334155"/>
          <w:sz w:val="20"/>
        </w:rPr>
        <w:t>Replacing an existing mortgage with a new one, usually for better terms.</w:t>
      </w:r>
    </w:p>
    <w:p>
      <w:pPr>
        <w:spacing w:before="120" w:after="20"/>
      </w:pPr>
      <w:r>
        <w:rPr>
          <w:b/>
          <w:color w:val="0A2240"/>
          <w:sz w:val="21"/>
        </w:rPr>
        <w:t>Reverse Mortgage</w:t>
      </w:r>
    </w:p>
    <w:p>
      <w:pPr>
        <w:spacing w:after="80"/>
        <w:ind w:left="0"/>
      </w:pPr>
      <w:r>
        <w:rPr>
          <w:color w:val="334155"/>
          <w:sz w:val="20"/>
        </w:rPr>
        <w:t>A loan for homeowners 62+ that converts home equity into cash without monthly payments.</w:t>
      </w:r>
    </w:p>
    <w:p>
      <w:pPr>
        <w:spacing w:before="120" w:after="20"/>
      </w:pPr>
      <w:r>
        <w:rPr>
          <w:b/>
          <w:color w:val="0A2240"/>
          <w:sz w:val="21"/>
        </w:rPr>
        <w:t>Second Mortgage</w:t>
      </w:r>
    </w:p>
    <w:p>
      <w:pPr>
        <w:spacing w:after="80"/>
        <w:ind w:left="0"/>
      </w:pPr>
      <w:r>
        <w:rPr>
          <w:color w:val="334155"/>
          <w:sz w:val="20"/>
        </w:rPr>
        <w:t>Any mortgage subordinate to the first mortgage, paid only after the first in default.</w:t>
      </w:r>
    </w:p>
    <w:p>
      <w:pPr>
        <w:spacing w:before="120" w:after="20"/>
      </w:pPr>
      <w:r>
        <w:rPr>
          <w:b/>
          <w:color w:val="0A2240"/>
          <w:sz w:val="21"/>
        </w:rPr>
        <w:t>Seller Credit</w:t>
      </w:r>
    </w:p>
    <w:p>
      <w:pPr>
        <w:spacing w:after="80"/>
        <w:ind w:left="0"/>
      </w:pPr>
      <w:r>
        <w:rPr>
          <w:color w:val="334155"/>
          <w:sz w:val="20"/>
        </w:rPr>
        <w:t>Money the seller agrees to pay toward the buyer's closing costs.</w:t>
      </w:r>
    </w:p>
    <w:p>
      <w:pPr>
        <w:spacing w:before="120" w:after="20"/>
      </w:pPr>
      <w:r>
        <w:rPr>
          <w:b/>
          <w:color w:val="0A2240"/>
          <w:sz w:val="21"/>
        </w:rPr>
        <w:t>Streamline Refinance</w:t>
      </w:r>
    </w:p>
    <w:p>
      <w:pPr>
        <w:spacing w:after="80"/>
        <w:ind w:left="0"/>
      </w:pPr>
      <w:r>
        <w:rPr>
          <w:color w:val="334155"/>
          <w:sz w:val="20"/>
        </w:rPr>
        <w:t>A simplified refinance for FHA or VA loans with reduced documentation.</w:t>
      </w:r>
    </w:p>
    <w:p>
      <w:pPr>
        <w:spacing w:before="120" w:after="20"/>
      </w:pPr>
      <w:r>
        <w:rPr>
          <w:b/>
          <w:color w:val="0A2240"/>
          <w:sz w:val="21"/>
        </w:rPr>
        <w:t>Super-Jumbo Loan</w:t>
      </w:r>
    </w:p>
    <w:p>
      <w:pPr>
        <w:spacing w:after="80"/>
        <w:ind w:left="0"/>
      </w:pPr>
      <w:r>
        <w:rPr>
          <w:color w:val="334155"/>
          <w:sz w:val="20"/>
        </w:rPr>
        <w:t>A jumbo loan exceeding typical jumbo limits, often $2M+.</w:t>
      </w:r>
    </w:p>
    <w:p>
      <w:pPr>
        <w:spacing w:before="120" w:after="20"/>
      </w:pPr>
      <w:r>
        <w:rPr>
          <w:b/>
          <w:color w:val="0A2240"/>
          <w:sz w:val="21"/>
        </w:rPr>
        <w:t>Trustee (Deed of Trust)</w:t>
      </w:r>
    </w:p>
    <w:p>
      <w:pPr>
        <w:spacing w:after="80"/>
        <w:ind w:left="0"/>
      </w:pPr>
      <w:r>
        <w:rPr>
          <w:color w:val="334155"/>
          <w:sz w:val="20"/>
        </w:rPr>
        <w:t>The neutral party holding title under a trust deed until the loan is repaid.</w:t>
      </w:r>
    </w:p>
    <w:p>
      <w:pPr>
        <w:spacing w:before="120" w:after="20"/>
      </w:pPr>
      <w:r>
        <w:rPr>
          <w:b/>
          <w:color w:val="0A2240"/>
          <w:sz w:val="21"/>
        </w:rPr>
        <w:t>Trustor</w:t>
      </w:r>
    </w:p>
    <w:p>
      <w:pPr>
        <w:spacing w:after="80"/>
        <w:ind w:left="0"/>
      </w:pPr>
      <w:r>
        <w:rPr>
          <w:color w:val="334155"/>
          <w:sz w:val="20"/>
        </w:rPr>
        <w:t>The borrower in a trust deed who conveys title to a trustee as security.</w:t>
      </w:r>
    </w:p>
    <w:p>
      <w:pPr>
        <w:spacing w:before="120" w:after="20"/>
      </w:pPr>
      <w:r>
        <w:rPr>
          <w:b/>
          <w:color w:val="0A2240"/>
          <w:sz w:val="21"/>
        </w:rPr>
        <w:t>USDA Loan</w:t>
      </w:r>
    </w:p>
    <w:p>
      <w:pPr>
        <w:spacing w:after="80"/>
        <w:ind w:left="0"/>
      </w:pPr>
      <w:r>
        <w:rPr>
          <w:color w:val="334155"/>
          <w:sz w:val="20"/>
        </w:rPr>
        <w:t>A loan for rural homebuyers backed by the U.S. Department of Agriculture, often requiring no down payment.</w:t>
      </w:r>
    </w:p>
    <w:p>
      <w:pPr>
        <w:spacing w:before="120" w:after="20"/>
      </w:pPr>
      <w:r>
        <w:rPr>
          <w:b/>
          <w:color w:val="0A2240"/>
          <w:sz w:val="21"/>
        </w:rPr>
        <w:t>VA Loan</w:t>
      </w:r>
    </w:p>
    <w:p>
      <w:pPr>
        <w:spacing w:after="80"/>
        <w:ind w:left="0"/>
      </w:pPr>
      <w:r>
        <w:rPr>
          <w:color w:val="334155"/>
          <w:sz w:val="20"/>
        </w:rPr>
        <w:t>A mortgage guaranteed by the Department of Veterans Affairs, often with zero down payment for veterans.</w:t>
      </w:r>
    </w:p>
    <w:p>
      <w:pPr>
        <w:spacing w:before="120" w:after="20"/>
      </w:pPr>
      <w:r>
        <w:rPr>
          <w:b/>
          <w:color w:val="0A2240"/>
          <w:sz w:val="21"/>
        </w:rPr>
        <w:t>Warehouse Line</w:t>
      </w:r>
    </w:p>
    <w:p>
      <w:pPr>
        <w:spacing w:after="80"/>
        <w:ind w:left="0"/>
      </w:pPr>
      <w:r>
        <w:rPr>
          <w:color w:val="334155"/>
          <w:sz w:val="20"/>
        </w:rPr>
        <w:t>A short-term credit facility a mortgage banker uses to fund loans before selling them.</w:t>
      </w:r>
    </w:p>
    <w:p>
      <w:pPr>
        <w:spacing w:before="120" w:after="20"/>
      </w:pPr>
      <w:r>
        <w:rPr>
          <w:b/>
          <w:color w:val="0A2240"/>
          <w:sz w:val="21"/>
        </w:rPr>
        <w:t>Wraparound Mortgage</w:t>
      </w:r>
    </w:p>
    <w:p>
      <w:pPr>
        <w:spacing w:after="80"/>
        <w:ind w:left="0"/>
      </w:pPr>
      <w:r>
        <w:rPr>
          <w:color w:val="334155"/>
          <w:sz w:val="20"/>
        </w:rPr>
        <w:t>Seller financing where the new loan wraps around an existing loan, with the seller paying it.</w:t>
      </w:r>
    </w:p>
    <w:p>
      <w:r>
        <w:rPr>
          <w:b/>
          <w:color w:val="B22234"/>
          <w:sz w:val="28"/>
        </w:rPr>
        <w:t>Mortgage Securitization</w:t>
      </w:r>
    </w:p>
    <w:p>
      <w:pPr>
        <w:spacing w:before="120" w:after="20"/>
      </w:pPr>
      <w:r>
        <w:rPr>
          <w:b/>
          <w:color w:val="0A2240"/>
          <w:sz w:val="21"/>
        </w:rPr>
        <w:t>Agency MBS</w:t>
      </w:r>
    </w:p>
    <w:p>
      <w:pPr>
        <w:spacing w:after="80"/>
        <w:ind w:left="0"/>
      </w:pPr>
      <w:r>
        <w:rPr>
          <w:color w:val="334155"/>
          <w:sz w:val="20"/>
        </w:rPr>
        <w:t>Mortgage-backed securities guaranteed by Fannie Mae, Freddie Mac, or Ginnie Mae.</w:t>
      </w:r>
    </w:p>
    <w:p>
      <w:pPr>
        <w:spacing w:before="120" w:after="20"/>
      </w:pPr>
      <w:r>
        <w:rPr>
          <w:b/>
          <w:color w:val="0A2240"/>
          <w:sz w:val="21"/>
        </w:rPr>
        <w:t>B-Piece Buyer</w:t>
      </w:r>
    </w:p>
    <w:p>
      <w:pPr>
        <w:spacing w:after="80"/>
        <w:ind w:left="0"/>
      </w:pPr>
      <w:r>
        <w:rPr>
          <w:color w:val="334155"/>
          <w:sz w:val="20"/>
        </w:rPr>
        <w:t>An investor purchasing the riskiest tranche of a CMBS deal, getting rights to influence underwriting.</w:t>
      </w:r>
    </w:p>
    <w:p>
      <w:pPr>
        <w:spacing w:before="120" w:after="20"/>
      </w:pPr>
      <w:r>
        <w:rPr>
          <w:b/>
          <w:color w:val="0A2240"/>
          <w:sz w:val="21"/>
        </w:rPr>
        <w:t>CMBS</w:t>
      </w:r>
    </w:p>
    <w:p>
      <w:pPr>
        <w:spacing w:after="80"/>
        <w:ind w:left="0"/>
      </w:pPr>
      <w:r>
        <w:rPr>
          <w:color w:val="334155"/>
          <w:sz w:val="20"/>
        </w:rPr>
        <w:t>Commercial Mortgage-Backed Security — a bond backed by a pool of commercial mortgages.</w:t>
      </w:r>
    </w:p>
    <w:p>
      <w:pPr>
        <w:spacing w:before="120" w:after="20"/>
      </w:pPr>
      <w:r>
        <w:rPr>
          <w:b/>
          <w:color w:val="0A2240"/>
          <w:sz w:val="21"/>
        </w:rPr>
        <w:t>Collateralized Loan Obligation (CLO)</w:t>
      </w:r>
    </w:p>
    <w:p>
      <w:pPr>
        <w:spacing w:after="80"/>
        <w:ind w:left="0"/>
      </w:pPr>
      <w:r>
        <w:rPr>
          <w:color w:val="334155"/>
          <w:sz w:val="20"/>
        </w:rPr>
        <w:t>A securitization pool of corporate loans, including some commercial real estate debt.</w:t>
      </w:r>
    </w:p>
    <w:p>
      <w:pPr>
        <w:spacing w:before="120" w:after="20"/>
      </w:pPr>
      <w:r>
        <w:rPr>
          <w:b/>
          <w:color w:val="0A2240"/>
          <w:sz w:val="21"/>
        </w:rPr>
        <w:t>Defeasance</w:t>
      </w:r>
    </w:p>
    <w:p>
      <w:pPr>
        <w:spacing w:after="80"/>
        <w:ind w:left="0"/>
      </w:pPr>
      <w:r>
        <w:rPr>
          <w:color w:val="334155"/>
          <w:sz w:val="20"/>
        </w:rPr>
        <w:t>Substituting government securities for collateral to release the original property from a CMBS lien.</w:t>
      </w:r>
    </w:p>
    <w:p>
      <w:pPr>
        <w:spacing w:before="120" w:after="20"/>
      </w:pPr>
      <w:r>
        <w:rPr>
          <w:b/>
          <w:color w:val="0A2240"/>
          <w:sz w:val="21"/>
        </w:rPr>
        <w:t>Master Servicer</w:t>
      </w:r>
    </w:p>
    <w:p>
      <w:pPr>
        <w:spacing w:after="80"/>
        <w:ind w:left="0"/>
      </w:pPr>
      <w:r>
        <w:rPr>
          <w:color w:val="334155"/>
          <w:sz w:val="20"/>
        </w:rPr>
        <w:t>The party responsible for the day-to-day administration of loans in a securitized pool.</w:t>
      </w:r>
    </w:p>
    <w:p>
      <w:pPr>
        <w:spacing w:before="120" w:after="20"/>
      </w:pPr>
      <w:r>
        <w:rPr>
          <w:b/>
          <w:color w:val="0A2240"/>
          <w:sz w:val="21"/>
        </w:rPr>
        <w:t>MBS</w:t>
      </w:r>
    </w:p>
    <w:p>
      <w:pPr>
        <w:spacing w:after="80"/>
        <w:ind w:left="0"/>
      </w:pPr>
      <w:r>
        <w:rPr>
          <w:color w:val="334155"/>
          <w:sz w:val="20"/>
        </w:rPr>
        <w:t>Mortgage-Backed Security — a bond backed by a pool of mortgages.</w:t>
      </w:r>
    </w:p>
    <w:p>
      <w:pPr>
        <w:spacing w:before="120" w:after="20"/>
      </w:pPr>
      <w:r>
        <w:rPr>
          <w:b/>
          <w:color w:val="0A2240"/>
          <w:sz w:val="21"/>
        </w:rPr>
        <w:t>Pari Passu Bonds</w:t>
      </w:r>
    </w:p>
    <w:p>
      <w:pPr>
        <w:spacing w:after="80"/>
        <w:ind w:left="0"/>
      </w:pPr>
      <w:r>
        <w:rPr>
          <w:color w:val="334155"/>
          <w:sz w:val="20"/>
        </w:rPr>
        <w:t>Tranches within a securitization that share losses pro rata.</w:t>
      </w:r>
    </w:p>
    <w:p>
      <w:pPr>
        <w:spacing w:before="120" w:after="20"/>
      </w:pPr>
      <w:r>
        <w:rPr>
          <w:b/>
          <w:color w:val="0A2240"/>
          <w:sz w:val="21"/>
        </w:rPr>
        <w:t>Pooling and Servicing Agreement (PSA)</w:t>
      </w:r>
    </w:p>
    <w:p>
      <w:pPr>
        <w:spacing w:after="80"/>
        <w:ind w:left="0"/>
      </w:pPr>
      <w:r>
        <w:rPr>
          <w:color w:val="334155"/>
          <w:sz w:val="20"/>
        </w:rPr>
        <w:t>The contract governing a securitized mortgage pool and its participants.</w:t>
      </w:r>
    </w:p>
    <w:p>
      <w:pPr>
        <w:spacing w:before="120" w:after="20"/>
      </w:pPr>
      <w:r>
        <w:rPr>
          <w:b/>
          <w:color w:val="0A2240"/>
          <w:sz w:val="21"/>
        </w:rPr>
        <w:t>Re-REMIC</w:t>
      </w:r>
    </w:p>
    <w:p>
      <w:pPr>
        <w:spacing w:after="80"/>
        <w:ind w:left="0"/>
      </w:pPr>
      <w:r>
        <w:rPr>
          <w:color w:val="334155"/>
          <w:sz w:val="20"/>
        </w:rPr>
        <w:t>A re-securitization of mortgage-backed securities into new tranches.</w:t>
      </w:r>
    </w:p>
    <w:p>
      <w:pPr>
        <w:spacing w:before="120" w:after="20"/>
      </w:pPr>
      <w:r>
        <w:rPr>
          <w:b/>
          <w:color w:val="0A2240"/>
          <w:sz w:val="21"/>
        </w:rPr>
        <w:t>RMBS</w:t>
      </w:r>
    </w:p>
    <w:p>
      <w:pPr>
        <w:spacing w:after="80"/>
        <w:ind w:left="0"/>
      </w:pPr>
      <w:r>
        <w:rPr>
          <w:color w:val="334155"/>
          <w:sz w:val="20"/>
        </w:rPr>
        <w:t>Residential Mortgage-Backed Security — a bond backed by residential mortgages.</w:t>
      </w:r>
    </w:p>
    <w:p>
      <w:pPr>
        <w:spacing w:before="120" w:after="20"/>
      </w:pPr>
      <w:r>
        <w:rPr>
          <w:b/>
          <w:color w:val="0A2240"/>
          <w:sz w:val="21"/>
        </w:rPr>
        <w:t>Servicer</w:t>
      </w:r>
    </w:p>
    <w:p>
      <w:pPr>
        <w:spacing w:after="80"/>
        <w:ind w:left="0"/>
      </w:pPr>
      <w:r>
        <w:rPr>
          <w:color w:val="334155"/>
          <w:sz w:val="20"/>
        </w:rPr>
        <w:t>The company that collects payments and manages a mortgage on behalf of the loan owner.</w:t>
      </w:r>
    </w:p>
    <w:p>
      <w:pPr>
        <w:spacing w:before="120" w:after="20"/>
      </w:pPr>
      <w:r>
        <w:rPr>
          <w:b/>
          <w:color w:val="0A2240"/>
          <w:sz w:val="21"/>
        </w:rPr>
        <w:t>Servicing Strip</w:t>
      </w:r>
    </w:p>
    <w:p>
      <w:pPr>
        <w:spacing w:after="80"/>
        <w:ind w:left="0"/>
      </w:pPr>
      <w:r>
        <w:rPr>
          <w:color w:val="334155"/>
          <w:sz w:val="20"/>
        </w:rPr>
        <w:t>The fee paid to the servicer carved out of the loan's interest rate.</w:t>
      </w:r>
    </w:p>
    <w:p>
      <w:pPr>
        <w:spacing w:before="120" w:after="20"/>
      </w:pPr>
      <w:r>
        <w:rPr>
          <w:b/>
          <w:color w:val="0A2240"/>
          <w:sz w:val="21"/>
        </w:rPr>
        <w:t>Special Servicer</w:t>
      </w:r>
    </w:p>
    <w:p>
      <w:pPr>
        <w:spacing w:after="80"/>
        <w:ind w:left="0"/>
      </w:pPr>
      <w:r>
        <w:rPr>
          <w:color w:val="334155"/>
          <w:sz w:val="20"/>
        </w:rPr>
        <w:t>A CMBS servicer handling defaulted or troubled loans.</w:t>
      </w:r>
    </w:p>
    <w:p>
      <w:pPr>
        <w:spacing w:before="120" w:after="20"/>
      </w:pPr>
      <w:r>
        <w:rPr>
          <w:b/>
          <w:color w:val="0A2240"/>
          <w:sz w:val="21"/>
        </w:rPr>
        <w:t>Subordination Level</w:t>
      </w:r>
    </w:p>
    <w:p>
      <w:pPr>
        <w:spacing w:after="80"/>
        <w:ind w:left="0"/>
      </w:pPr>
      <w:r>
        <w:rPr>
          <w:color w:val="334155"/>
          <w:sz w:val="20"/>
        </w:rPr>
        <w:t>The percentage of pool losses a senior tranche can absorb before being affected.</w:t>
      </w:r>
    </w:p>
    <w:p>
      <w:pPr>
        <w:spacing w:before="120" w:after="20"/>
      </w:pPr>
      <w:r>
        <w:rPr>
          <w:b/>
          <w:color w:val="0A2240"/>
          <w:sz w:val="21"/>
        </w:rPr>
        <w:t>Tranche</w:t>
      </w:r>
    </w:p>
    <w:p>
      <w:pPr>
        <w:spacing w:after="80"/>
        <w:ind w:left="0"/>
      </w:pPr>
      <w:r>
        <w:rPr>
          <w:color w:val="334155"/>
          <w:sz w:val="20"/>
        </w:rPr>
        <w:t>A slice of a securitized pool with its own risk and return profile.</w:t>
      </w:r>
    </w:p>
    <w:p>
      <w:pPr>
        <w:spacing w:before="120" w:after="20"/>
      </w:pPr>
      <w:r>
        <w:rPr>
          <w:b/>
          <w:color w:val="0A2240"/>
          <w:sz w:val="21"/>
        </w:rPr>
        <w:t>Trustee (Securitization)</w:t>
      </w:r>
    </w:p>
    <w:p>
      <w:pPr>
        <w:spacing w:after="80"/>
        <w:ind w:left="0"/>
      </w:pPr>
      <w:r>
        <w:rPr>
          <w:color w:val="334155"/>
          <w:sz w:val="20"/>
        </w:rPr>
        <w:t>The entity holding the securitization pool on behalf of investors.</w:t>
      </w:r>
    </w:p>
    <w:p>
      <w:pPr>
        <w:spacing w:before="120" w:after="20"/>
      </w:pPr>
      <w:r>
        <w:rPr>
          <w:b/>
          <w:color w:val="0A2240"/>
          <w:sz w:val="21"/>
        </w:rPr>
        <w:t>Yield Maintenance</w:t>
      </w:r>
    </w:p>
    <w:p>
      <w:pPr>
        <w:spacing w:after="80"/>
        <w:ind w:left="0"/>
      </w:pPr>
      <w:r>
        <w:rPr>
          <w:color w:val="334155"/>
          <w:sz w:val="20"/>
        </w:rPr>
        <w:t>A CMBS prepayment penalty making the lender whole on lost interest.</w:t>
      </w:r>
    </w:p>
    <w:p>
      <w:r>
        <w:rPr>
          <w:b/>
          <w:color w:val="B22234"/>
          <w:sz w:val="28"/>
        </w:rPr>
        <w:t>Multifamily Operations</w:t>
      </w:r>
    </w:p>
    <w:p>
      <w:pPr>
        <w:spacing w:before="120" w:after="20"/>
      </w:pPr>
      <w:r>
        <w:rPr>
          <w:b/>
          <w:color w:val="0A2240"/>
          <w:sz w:val="21"/>
        </w:rPr>
        <w:t>Ancillary Income</w:t>
      </w:r>
    </w:p>
    <w:p>
      <w:pPr>
        <w:spacing w:after="80"/>
        <w:ind w:left="0"/>
      </w:pPr>
      <w:r>
        <w:rPr>
          <w:color w:val="334155"/>
          <w:sz w:val="20"/>
        </w:rPr>
        <w:t>Income beyond rent — pet fees, parking, laundry, application fees.</w:t>
      </w:r>
    </w:p>
    <w:p>
      <w:pPr>
        <w:spacing w:before="120" w:after="20"/>
      </w:pPr>
      <w:r>
        <w:rPr>
          <w:b/>
          <w:color w:val="0A2240"/>
          <w:sz w:val="21"/>
        </w:rPr>
        <w:t>Bad Debt</w:t>
      </w:r>
    </w:p>
    <w:p>
      <w:pPr>
        <w:spacing w:after="80"/>
        <w:ind w:left="0"/>
      </w:pPr>
      <w:r>
        <w:rPr>
          <w:color w:val="334155"/>
          <w:sz w:val="20"/>
        </w:rPr>
        <w:t>Rent that cannot be collected, written off as a loss.</w:t>
      </w:r>
    </w:p>
    <w:p>
      <w:pPr>
        <w:spacing w:before="120" w:after="20"/>
      </w:pPr>
      <w:r>
        <w:rPr>
          <w:b/>
          <w:color w:val="0A2240"/>
          <w:sz w:val="21"/>
        </w:rPr>
        <w:t>Class A/B/C Multifamily</w:t>
      </w:r>
    </w:p>
    <w:p>
      <w:pPr>
        <w:spacing w:after="80"/>
        <w:ind w:left="0"/>
      </w:pPr>
      <w:r>
        <w:rPr>
          <w:color w:val="334155"/>
          <w:sz w:val="20"/>
        </w:rPr>
        <w:t>Quality classifications based on age, amenities, and rents — A is newest, C is older.</w:t>
      </w:r>
    </w:p>
    <w:p>
      <w:pPr>
        <w:spacing w:before="120" w:after="20"/>
      </w:pPr>
      <w:r>
        <w:rPr>
          <w:b/>
          <w:color w:val="0A2240"/>
          <w:sz w:val="21"/>
        </w:rPr>
        <w:t>Concession</w:t>
      </w:r>
    </w:p>
    <w:p>
      <w:pPr>
        <w:spacing w:after="80"/>
        <w:ind w:left="0"/>
      </w:pPr>
      <w:r>
        <w:rPr>
          <w:color w:val="334155"/>
          <w:sz w:val="20"/>
        </w:rPr>
        <w:t>A discount or incentive offered to attract or retain tenants, such as one month free.</w:t>
      </w:r>
    </w:p>
    <w:p>
      <w:pPr>
        <w:spacing w:before="120" w:after="20"/>
      </w:pPr>
      <w:r>
        <w:rPr>
          <w:b/>
          <w:color w:val="0A2240"/>
          <w:sz w:val="21"/>
        </w:rPr>
        <w:t>Economic Vacancy</w:t>
      </w:r>
    </w:p>
    <w:p>
      <w:pPr>
        <w:spacing w:after="80"/>
        <w:ind w:left="0"/>
      </w:pPr>
      <w:r>
        <w:rPr>
          <w:color w:val="334155"/>
          <w:sz w:val="20"/>
        </w:rPr>
        <w:t>Lost income from vacancies, concessions, bad debt, and below-market rents combined.</w:t>
      </w:r>
    </w:p>
    <w:p>
      <w:pPr>
        <w:spacing w:before="120" w:after="20"/>
      </w:pPr>
      <w:r>
        <w:rPr>
          <w:b/>
          <w:color w:val="0A2240"/>
          <w:sz w:val="21"/>
        </w:rPr>
        <w:t>Loss to Lease</w:t>
      </w:r>
    </w:p>
    <w:p>
      <w:pPr>
        <w:spacing w:after="80"/>
        <w:ind w:left="0"/>
      </w:pPr>
      <w:r>
        <w:rPr>
          <w:color w:val="334155"/>
          <w:sz w:val="20"/>
        </w:rPr>
        <w:t>The difference between market rent and actual rent — a measure of upside.</w:t>
      </w:r>
    </w:p>
    <w:p>
      <w:pPr>
        <w:spacing w:before="120" w:after="20"/>
      </w:pPr>
      <w:r>
        <w:rPr>
          <w:b/>
          <w:color w:val="0A2240"/>
          <w:sz w:val="21"/>
        </w:rPr>
        <w:t>Mark-to-Market Rents</w:t>
      </w:r>
    </w:p>
    <w:p>
      <w:pPr>
        <w:spacing w:after="80"/>
        <w:ind w:left="0"/>
      </w:pPr>
      <w:r>
        <w:rPr>
          <w:color w:val="334155"/>
          <w:sz w:val="20"/>
        </w:rPr>
        <w:t>Adjusting current rents to current market levels at lease turnover.</w:t>
      </w:r>
    </w:p>
    <w:p>
      <w:pPr>
        <w:spacing w:before="120" w:after="20"/>
      </w:pPr>
      <w:r>
        <w:rPr>
          <w:b/>
          <w:color w:val="0A2240"/>
          <w:sz w:val="21"/>
        </w:rPr>
        <w:t>Pet Rent</w:t>
      </w:r>
    </w:p>
    <w:p>
      <w:pPr>
        <w:spacing w:after="80"/>
        <w:ind w:left="0"/>
      </w:pPr>
      <w:r>
        <w:rPr>
          <w:color w:val="334155"/>
          <w:sz w:val="20"/>
        </w:rPr>
        <w:t>Monthly fee charged for residents with pets, in addition to a pet deposit.</w:t>
      </w:r>
    </w:p>
    <w:p>
      <w:pPr>
        <w:spacing w:before="120" w:after="20"/>
      </w:pPr>
      <w:r>
        <w:rPr>
          <w:b/>
          <w:color w:val="0A2240"/>
          <w:sz w:val="21"/>
        </w:rPr>
        <w:t>Physical Vacancy</w:t>
      </w:r>
    </w:p>
    <w:p>
      <w:pPr>
        <w:spacing w:after="80"/>
        <w:ind w:left="0"/>
      </w:pPr>
      <w:r>
        <w:rPr>
          <w:color w:val="334155"/>
          <w:sz w:val="20"/>
        </w:rPr>
        <w:t>The percentage of units actually unoccupied at a point in time.</w:t>
      </w:r>
    </w:p>
    <w:p>
      <w:pPr>
        <w:spacing w:before="120" w:after="20"/>
      </w:pPr>
      <w:r>
        <w:rPr>
          <w:b/>
          <w:color w:val="0A2240"/>
          <w:sz w:val="21"/>
        </w:rPr>
        <w:t>Pro Forma Rent</w:t>
      </w:r>
    </w:p>
    <w:p>
      <w:pPr>
        <w:spacing w:after="80"/>
        <w:ind w:left="0"/>
      </w:pPr>
      <w:r>
        <w:rPr>
          <w:color w:val="334155"/>
          <w:sz w:val="20"/>
        </w:rPr>
        <w:t>Projected market rent used to underwrite a multifamily acquisition.</w:t>
      </w:r>
    </w:p>
    <w:p>
      <w:pPr>
        <w:spacing w:before="120" w:after="20"/>
      </w:pPr>
      <w:r>
        <w:rPr>
          <w:b/>
          <w:color w:val="0A2240"/>
          <w:sz w:val="21"/>
        </w:rPr>
        <w:t>Pro Forma Variance</w:t>
      </w:r>
    </w:p>
    <w:p>
      <w:pPr>
        <w:spacing w:after="80"/>
        <w:ind w:left="0"/>
      </w:pPr>
      <w:r>
        <w:rPr>
          <w:color w:val="334155"/>
          <w:sz w:val="20"/>
        </w:rPr>
        <w:t>Difference between projected and actual operating metrics in multifamily.</w:t>
      </w:r>
    </w:p>
    <w:p>
      <w:pPr>
        <w:spacing w:before="120" w:after="20"/>
      </w:pPr>
      <w:r>
        <w:rPr>
          <w:b/>
          <w:color w:val="0A2240"/>
          <w:sz w:val="21"/>
        </w:rPr>
        <w:t>Renovation Premium</w:t>
      </w:r>
    </w:p>
    <w:p>
      <w:pPr>
        <w:spacing w:after="80"/>
        <w:ind w:left="0"/>
      </w:pPr>
      <w:r>
        <w:rPr>
          <w:color w:val="334155"/>
          <w:sz w:val="20"/>
        </w:rPr>
        <w:t>The rent uplift achievable on a unit after renovating to market standards.</w:t>
      </w:r>
    </w:p>
    <w:p>
      <w:pPr>
        <w:spacing w:before="120" w:after="20"/>
      </w:pPr>
      <w:r>
        <w:rPr>
          <w:b/>
          <w:color w:val="0A2240"/>
          <w:sz w:val="21"/>
        </w:rPr>
        <w:t>Resident Retention</w:t>
      </w:r>
    </w:p>
    <w:p>
      <w:pPr>
        <w:spacing w:after="80"/>
        <w:ind w:left="0"/>
      </w:pPr>
      <w:r>
        <w:rPr>
          <w:color w:val="334155"/>
          <w:sz w:val="20"/>
        </w:rPr>
        <w:t>The rate at which existing tenants renew leases — a key operational metric.</w:t>
      </w:r>
    </w:p>
    <w:p>
      <w:pPr>
        <w:spacing w:before="120" w:after="20"/>
      </w:pPr>
      <w:r>
        <w:rPr>
          <w:b/>
          <w:color w:val="0A2240"/>
          <w:sz w:val="21"/>
        </w:rPr>
        <w:t>RUBS</w:t>
      </w:r>
    </w:p>
    <w:p>
      <w:pPr>
        <w:spacing w:after="80"/>
        <w:ind w:left="0"/>
      </w:pPr>
      <w:r>
        <w:rPr>
          <w:color w:val="334155"/>
          <w:sz w:val="20"/>
        </w:rPr>
        <w:t>Ratio Utility Billing System — allocating utility costs to tenants based on a formula.</w:t>
      </w:r>
    </w:p>
    <w:p>
      <w:pPr>
        <w:spacing w:before="120" w:after="20"/>
      </w:pPr>
      <w:r>
        <w:rPr>
          <w:b/>
          <w:color w:val="0A2240"/>
          <w:sz w:val="21"/>
        </w:rPr>
        <w:t>Sub-Metering</w:t>
      </w:r>
    </w:p>
    <w:p>
      <w:pPr>
        <w:spacing w:after="80"/>
        <w:ind w:left="0"/>
      </w:pPr>
      <w:r>
        <w:rPr>
          <w:color w:val="334155"/>
          <w:sz w:val="20"/>
        </w:rPr>
        <w:t>Individual unit metering for utilities, allowing direct tenant billing.</w:t>
      </w:r>
    </w:p>
    <w:p>
      <w:pPr>
        <w:spacing w:before="120" w:after="20"/>
      </w:pPr>
      <w:r>
        <w:rPr>
          <w:b/>
          <w:color w:val="0A2240"/>
          <w:sz w:val="21"/>
        </w:rPr>
        <w:t>Submarket</w:t>
      </w:r>
    </w:p>
    <w:p>
      <w:pPr>
        <w:spacing w:after="80"/>
        <w:ind w:left="0"/>
      </w:pPr>
      <w:r>
        <w:rPr>
          <w:color w:val="334155"/>
          <w:sz w:val="20"/>
        </w:rPr>
        <w:t>A geographic sub-area within a larger market, often used in multifamily comparables.</w:t>
      </w:r>
    </w:p>
    <w:p>
      <w:pPr>
        <w:spacing w:before="120" w:after="20"/>
      </w:pPr>
      <w:r>
        <w:rPr>
          <w:b/>
          <w:color w:val="0A2240"/>
          <w:sz w:val="21"/>
        </w:rPr>
        <w:t>T-12</w:t>
      </w:r>
    </w:p>
    <w:p>
      <w:pPr>
        <w:spacing w:after="80"/>
        <w:ind w:left="0"/>
      </w:pPr>
      <w:r>
        <w:rPr>
          <w:color w:val="334155"/>
          <w:sz w:val="20"/>
        </w:rPr>
        <w:t>Trailing 12 months of property financials — the standard underwriting document.</w:t>
      </w:r>
    </w:p>
    <w:p>
      <w:pPr>
        <w:spacing w:before="120" w:after="20"/>
      </w:pPr>
      <w:r>
        <w:rPr>
          <w:b/>
          <w:color w:val="0A2240"/>
          <w:sz w:val="21"/>
        </w:rPr>
        <w:t>T-3 Annualized</w:t>
      </w:r>
    </w:p>
    <w:p>
      <w:pPr>
        <w:spacing w:after="80"/>
        <w:ind w:left="0"/>
      </w:pPr>
      <w:r>
        <w:rPr>
          <w:color w:val="334155"/>
          <w:sz w:val="20"/>
        </w:rPr>
        <w:t>Three trailing months annualized — useful when a value-add property's recent performance differs from T-12.</w:t>
      </w:r>
    </w:p>
    <w:p>
      <w:pPr>
        <w:spacing w:before="120" w:after="20"/>
      </w:pPr>
      <w:r>
        <w:rPr>
          <w:b/>
          <w:color w:val="0A2240"/>
          <w:sz w:val="21"/>
        </w:rPr>
        <w:t>Trailing Twelve Operating Expenses (T-12 OpEx)</w:t>
      </w:r>
    </w:p>
    <w:p>
      <w:pPr>
        <w:spacing w:after="80"/>
        <w:ind w:left="0"/>
      </w:pPr>
      <w:r>
        <w:rPr>
          <w:color w:val="334155"/>
          <w:sz w:val="20"/>
        </w:rPr>
        <w:t>Last 12 months of property expenses, used to underwrite multifamily acquisitions.</w:t>
      </w:r>
    </w:p>
    <w:p>
      <w:pPr>
        <w:spacing w:before="120" w:after="20"/>
      </w:pPr>
      <w:r>
        <w:rPr>
          <w:b/>
          <w:color w:val="0A2240"/>
          <w:sz w:val="21"/>
        </w:rPr>
        <w:t>Unit Mix</w:t>
      </w:r>
    </w:p>
    <w:p>
      <w:pPr>
        <w:spacing w:after="80"/>
        <w:ind w:left="0"/>
      </w:pPr>
      <w:r>
        <w:rPr>
          <w:color w:val="334155"/>
          <w:sz w:val="20"/>
        </w:rPr>
        <w:t>The blend of unit types (studio, 1BR, 2BR) in a multifamily property.</w:t>
      </w:r>
    </w:p>
    <w:p>
      <w:r>
        <w:rPr>
          <w:b/>
          <w:color w:val="B22234"/>
          <w:sz w:val="28"/>
        </w:rPr>
        <w:t>Payment Processing &amp; Merchant Services</w:t>
      </w:r>
    </w:p>
    <w:p>
      <w:pPr>
        <w:spacing w:before="120" w:after="20"/>
      </w:pPr>
      <w:r>
        <w:rPr>
          <w:b/>
          <w:color w:val="0A2240"/>
          <w:sz w:val="21"/>
        </w:rPr>
        <w:t>3D Secure</w:t>
      </w:r>
    </w:p>
    <w:p>
      <w:pPr>
        <w:spacing w:after="80"/>
        <w:ind w:left="0"/>
      </w:pPr>
      <w:r>
        <w:rPr>
          <w:color w:val="334155"/>
          <w:sz w:val="20"/>
        </w:rPr>
        <w:t>Verified by Visa, Mastercard SecureCode — adds password verification to online purchases.</w:t>
      </w:r>
    </w:p>
    <w:p>
      <w:pPr>
        <w:spacing w:before="120" w:after="20"/>
      </w:pPr>
      <w:r>
        <w:rPr>
          <w:b/>
          <w:color w:val="0A2240"/>
          <w:sz w:val="21"/>
        </w:rPr>
        <w:t>ACH Transfer</w:t>
      </w:r>
    </w:p>
    <w:p>
      <w:pPr>
        <w:spacing w:after="80"/>
        <w:ind w:left="0"/>
      </w:pPr>
      <w:r>
        <w:rPr>
          <w:color w:val="334155"/>
          <w:sz w:val="20"/>
        </w:rPr>
        <w:t>An electronic bank-to-bank transfer through the Automated Clearing House network.</w:t>
      </w:r>
    </w:p>
    <w:p>
      <w:pPr>
        <w:spacing w:before="120" w:after="20"/>
      </w:pPr>
      <w:r>
        <w:rPr>
          <w:b/>
          <w:color w:val="0A2240"/>
          <w:sz w:val="21"/>
        </w:rPr>
        <w:t>Acquiring Bank</w:t>
      </w:r>
    </w:p>
    <w:p>
      <w:pPr>
        <w:spacing w:after="80"/>
        <w:ind w:left="0"/>
      </w:pPr>
      <w:r>
        <w:rPr>
          <w:color w:val="334155"/>
          <w:sz w:val="20"/>
        </w:rPr>
        <w:t>The merchant's bank that processes card transactions on their behalf.</w:t>
      </w:r>
    </w:p>
    <w:p>
      <w:pPr>
        <w:spacing w:before="120" w:after="20"/>
      </w:pPr>
      <w:r>
        <w:rPr>
          <w:b/>
          <w:color w:val="0A2240"/>
          <w:sz w:val="21"/>
        </w:rPr>
        <w:t>Aggregator</w:t>
      </w:r>
    </w:p>
    <w:p>
      <w:pPr>
        <w:spacing w:after="80"/>
        <w:ind w:left="0"/>
      </w:pPr>
      <w:r>
        <w:rPr>
          <w:color w:val="334155"/>
          <w:sz w:val="20"/>
        </w:rPr>
        <w:t>A payment provider (like Stripe or Square) that pools many small merchants under one account.</w:t>
      </w:r>
    </w:p>
    <w:p>
      <w:pPr>
        <w:spacing w:before="120" w:after="20"/>
      </w:pPr>
      <w:r>
        <w:rPr>
          <w:b/>
          <w:color w:val="0A2240"/>
          <w:sz w:val="21"/>
        </w:rPr>
        <w:t>Assessment Fee</w:t>
      </w:r>
    </w:p>
    <w:p>
      <w:pPr>
        <w:spacing w:after="80"/>
        <w:ind w:left="0"/>
      </w:pPr>
      <w:r>
        <w:rPr>
          <w:color w:val="334155"/>
          <w:sz w:val="20"/>
        </w:rPr>
        <w:t>Fees charged by Visa/Mastercard networks on each transaction, separate from interchange.</w:t>
      </w:r>
    </w:p>
    <w:p>
      <w:pPr>
        <w:spacing w:before="120" w:after="20"/>
      </w:pPr>
      <w:r>
        <w:rPr>
          <w:b/>
          <w:color w:val="0A2240"/>
          <w:sz w:val="21"/>
        </w:rPr>
        <w:t>Authorization</w:t>
      </w:r>
    </w:p>
    <w:p>
      <w:pPr>
        <w:spacing w:after="80"/>
        <w:ind w:left="0"/>
      </w:pPr>
      <w:r>
        <w:rPr>
          <w:color w:val="334155"/>
          <w:sz w:val="20"/>
        </w:rPr>
        <w:t>Initial approval of a transaction by the issuing bank, holding funds before settlement.</w:t>
      </w:r>
    </w:p>
    <w:p>
      <w:pPr>
        <w:spacing w:before="120" w:after="20"/>
      </w:pPr>
      <w:r>
        <w:rPr>
          <w:b/>
          <w:color w:val="0A2240"/>
          <w:sz w:val="21"/>
        </w:rPr>
        <w:t>Capture</w:t>
      </w:r>
    </w:p>
    <w:p>
      <w:pPr>
        <w:spacing w:after="80"/>
        <w:ind w:left="0"/>
      </w:pPr>
      <w:r>
        <w:rPr>
          <w:color w:val="334155"/>
          <w:sz w:val="20"/>
        </w:rPr>
        <w:t>The completion of a transaction, moving from authorization to settlement.</w:t>
      </w:r>
    </w:p>
    <w:p>
      <w:pPr>
        <w:spacing w:before="120" w:after="20"/>
      </w:pPr>
      <w:r>
        <w:rPr>
          <w:b/>
          <w:color w:val="0A2240"/>
          <w:sz w:val="21"/>
        </w:rPr>
        <w:t>Card-Not-Present Transaction</w:t>
      </w:r>
    </w:p>
    <w:p>
      <w:pPr>
        <w:spacing w:after="80"/>
        <w:ind w:left="0"/>
      </w:pPr>
      <w:r>
        <w:rPr>
          <w:color w:val="334155"/>
          <w:sz w:val="20"/>
        </w:rPr>
        <w:t>A transaction without the physical card (online, phone) — higher fraud risk and fees.</w:t>
      </w:r>
    </w:p>
    <w:p>
      <w:pPr>
        <w:spacing w:before="120" w:after="20"/>
      </w:pPr>
      <w:r>
        <w:rPr>
          <w:b/>
          <w:color w:val="0A2240"/>
          <w:sz w:val="21"/>
        </w:rPr>
        <w:t>Card-Present Transaction</w:t>
      </w:r>
    </w:p>
    <w:p>
      <w:pPr>
        <w:spacing w:after="80"/>
        <w:ind w:left="0"/>
      </w:pPr>
      <w:r>
        <w:rPr>
          <w:color w:val="334155"/>
          <w:sz w:val="20"/>
        </w:rPr>
        <w:t>A transaction where the card is physically swiped, dipped, or tapped — generally lower risk.</w:t>
      </w:r>
    </w:p>
    <w:p>
      <w:pPr>
        <w:spacing w:before="120" w:after="20"/>
      </w:pPr>
      <w:r>
        <w:rPr>
          <w:b/>
          <w:color w:val="0A2240"/>
          <w:sz w:val="21"/>
        </w:rPr>
        <w:t>Cardholder</w:t>
      </w:r>
    </w:p>
    <w:p>
      <w:pPr>
        <w:spacing w:after="80"/>
        <w:ind w:left="0"/>
      </w:pPr>
      <w:r>
        <w:rPr>
          <w:color w:val="334155"/>
          <w:sz w:val="20"/>
        </w:rPr>
        <w:t>The person who owns a credit or debit card and is responsible for transactions.</w:t>
      </w:r>
    </w:p>
    <w:p>
      <w:pPr>
        <w:spacing w:before="120" w:after="20"/>
      </w:pPr>
      <w:r>
        <w:rPr>
          <w:b/>
          <w:color w:val="0A2240"/>
          <w:sz w:val="21"/>
        </w:rPr>
        <w:t>Cash Discount Program</w:t>
      </w:r>
    </w:p>
    <w:p>
      <w:pPr>
        <w:spacing w:after="80"/>
        <w:ind w:left="0"/>
      </w:pPr>
      <w:r>
        <w:rPr>
          <w:color w:val="334155"/>
          <w:sz w:val="20"/>
        </w:rPr>
        <w:t>A pricing structure where card-paying customers see higher prices than cash customers.</w:t>
      </w:r>
    </w:p>
    <w:p>
      <w:pPr>
        <w:spacing w:before="120" w:after="20"/>
      </w:pPr>
      <w:r>
        <w:rPr>
          <w:b/>
          <w:color w:val="0A2240"/>
          <w:sz w:val="21"/>
        </w:rPr>
        <w:t>Chargeback</w:t>
      </w:r>
    </w:p>
    <w:p>
      <w:pPr>
        <w:spacing w:after="80"/>
        <w:ind w:left="0"/>
      </w:pPr>
      <w:r>
        <w:rPr>
          <w:color w:val="334155"/>
          <w:sz w:val="20"/>
        </w:rPr>
        <w:t>A forced reversal of a card transaction initiated by the cardholder's bank.</w:t>
      </w:r>
    </w:p>
    <w:p>
      <w:pPr>
        <w:spacing w:before="120" w:after="20"/>
      </w:pPr>
      <w:r>
        <w:rPr>
          <w:b/>
          <w:color w:val="0A2240"/>
          <w:sz w:val="21"/>
        </w:rPr>
        <w:t>Contactless Payment</w:t>
      </w:r>
    </w:p>
    <w:p>
      <w:pPr>
        <w:spacing w:after="80"/>
        <w:ind w:left="0"/>
      </w:pPr>
      <w:r>
        <w:rPr>
          <w:color w:val="334155"/>
          <w:sz w:val="20"/>
        </w:rPr>
        <w:t>Tap-to-pay transactions using NFC technology — cards or mobile wallets.</w:t>
      </w:r>
    </w:p>
    <w:p>
      <w:pPr>
        <w:spacing w:before="120" w:after="20"/>
      </w:pPr>
      <w:r>
        <w:rPr>
          <w:b/>
          <w:color w:val="0A2240"/>
          <w:sz w:val="21"/>
        </w:rPr>
        <w:t>Convenience Fee</w:t>
      </w:r>
    </w:p>
    <w:p>
      <w:pPr>
        <w:spacing w:after="80"/>
        <w:ind w:left="0"/>
      </w:pPr>
      <w:r>
        <w:rPr>
          <w:color w:val="334155"/>
          <w:sz w:val="20"/>
        </w:rPr>
        <w:t>A fixed fee for using a non-standard payment method, allowed in many cases.</w:t>
      </w:r>
    </w:p>
    <w:p>
      <w:pPr>
        <w:spacing w:before="120" w:after="20"/>
      </w:pPr>
      <w:r>
        <w:rPr>
          <w:b/>
          <w:color w:val="0A2240"/>
          <w:sz w:val="21"/>
        </w:rPr>
        <w:t>Cross-Border Fee</w:t>
      </w:r>
    </w:p>
    <w:p>
      <w:pPr>
        <w:spacing w:after="80"/>
        <w:ind w:left="0"/>
      </w:pPr>
      <w:r>
        <w:rPr>
          <w:color w:val="334155"/>
          <w:sz w:val="20"/>
        </w:rPr>
        <w:t>An additional fee assessed on international card transactions.</w:t>
      </w:r>
    </w:p>
    <w:p>
      <w:pPr>
        <w:spacing w:before="120" w:after="20"/>
      </w:pPr>
      <w:r>
        <w:rPr>
          <w:b/>
          <w:color w:val="0A2240"/>
          <w:sz w:val="21"/>
        </w:rPr>
        <w:t>Currency Conversion Fee</w:t>
      </w:r>
    </w:p>
    <w:p>
      <w:pPr>
        <w:spacing w:after="80"/>
        <w:ind w:left="0"/>
      </w:pPr>
      <w:r>
        <w:rPr>
          <w:color w:val="334155"/>
          <w:sz w:val="20"/>
        </w:rPr>
        <w:t>A fee added to international transactions to convert currencies.</w:t>
      </w:r>
    </w:p>
    <w:p>
      <w:pPr>
        <w:spacing w:before="120" w:after="20"/>
      </w:pPr>
      <w:r>
        <w:rPr>
          <w:b/>
          <w:color w:val="0A2240"/>
          <w:sz w:val="21"/>
        </w:rPr>
        <w:t>Discount Rate (Payments)</w:t>
      </w:r>
    </w:p>
    <w:p>
      <w:pPr>
        <w:spacing w:after="80"/>
        <w:ind w:left="0"/>
      </w:pPr>
      <w:r>
        <w:rPr>
          <w:color w:val="334155"/>
          <w:sz w:val="20"/>
        </w:rPr>
        <w:t>The percentage a merchant pays per transaction to its processor.</w:t>
      </w:r>
    </w:p>
    <w:p>
      <w:pPr>
        <w:spacing w:before="120" w:after="20"/>
      </w:pPr>
      <w:r>
        <w:rPr>
          <w:b/>
          <w:color w:val="0A2240"/>
          <w:sz w:val="21"/>
        </w:rPr>
        <w:t>Dual Pricing</w:t>
      </w:r>
    </w:p>
    <w:p>
      <w:pPr>
        <w:spacing w:after="80"/>
        <w:ind w:left="0"/>
      </w:pPr>
      <w:r>
        <w:rPr>
          <w:color w:val="334155"/>
          <w:sz w:val="20"/>
        </w:rPr>
        <w:t>Showing both a card price and a cash price at checkout, compliant alternative to surcharging.</w:t>
      </w:r>
    </w:p>
    <w:p>
      <w:pPr>
        <w:spacing w:before="120" w:after="20"/>
      </w:pPr>
      <w:r>
        <w:rPr>
          <w:b/>
          <w:color w:val="0A2240"/>
          <w:sz w:val="21"/>
        </w:rPr>
        <w:t>EMV</w:t>
      </w:r>
    </w:p>
    <w:p>
      <w:pPr>
        <w:spacing w:after="80"/>
        <w:ind w:left="0"/>
      </w:pPr>
      <w:r>
        <w:rPr>
          <w:color w:val="334155"/>
          <w:sz w:val="20"/>
        </w:rPr>
        <w:t>The chip-card standard for secure card-present transactions.</w:t>
      </w:r>
    </w:p>
    <w:p>
      <w:pPr>
        <w:spacing w:before="120" w:after="20"/>
      </w:pPr>
      <w:r>
        <w:rPr>
          <w:b/>
          <w:color w:val="0A2240"/>
          <w:sz w:val="21"/>
        </w:rPr>
        <w:t>Flat Rate Pricing</w:t>
      </w:r>
    </w:p>
    <w:p>
      <w:pPr>
        <w:spacing w:after="80"/>
        <w:ind w:left="0"/>
      </w:pPr>
      <w:r>
        <w:rPr>
          <w:color w:val="334155"/>
          <w:sz w:val="20"/>
        </w:rPr>
        <w:t>Simple, single-rate pricing across all card types — easier but often more expensive.</w:t>
      </w:r>
    </w:p>
    <w:p>
      <w:pPr>
        <w:spacing w:before="120" w:after="20"/>
      </w:pPr>
      <w:r>
        <w:rPr>
          <w:b/>
          <w:color w:val="0A2240"/>
          <w:sz w:val="21"/>
        </w:rPr>
        <w:t>Fraud Filters</w:t>
      </w:r>
    </w:p>
    <w:p>
      <w:pPr>
        <w:spacing w:after="80"/>
        <w:ind w:left="0"/>
      </w:pPr>
      <w:r>
        <w:rPr>
          <w:color w:val="334155"/>
          <w:sz w:val="20"/>
        </w:rPr>
        <w:t>Rules-based or AI-driven systems screening transactions for suspicious patterns.</w:t>
      </w:r>
    </w:p>
    <w:p>
      <w:pPr>
        <w:spacing w:before="120" w:after="20"/>
      </w:pPr>
      <w:r>
        <w:rPr>
          <w:b/>
          <w:color w:val="0A2240"/>
          <w:sz w:val="21"/>
        </w:rPr>
        <w:t>Gateway Fee</w:t>
      </w:r>
    </w:p>
    <w:p>
      <w:pPr>
        <w:spacing w:after="80"/>
        <w:ind w:left="0"/>
      </w:pPr>
      <w:r>
        <w:rPr>
          <w:color w:val="334155"/>
          <w:sz w:val="20"/>
        </w:rPr>
        <w:t>Per-transaction charge by a payment gateway, in addition to processor fees.</w:t>
      </w:r>
    </w:p>
    <w:p>
      <w:pPr>
        <w:spacing w:before="120" w:after="20"/>
      </w:pPr>
      <w:r>
        <w:rPr>
          <w:b/>
          <w:color w:val="0A2240"/>
          <w:sz w:val="21"/>
        </w:rPr>
        <w:t>Interchange Fee</w:t>
      </w:r>
    </w:p>
    <w:p>
      <w:pPr>
        <w:spacing w:after="80"/>
        <w:ind w:left="0"/>
      </w:pPr>
      <w:r>
        <w:rPr>
          <w:color w:val="334155"/>
          <w:sz w:val="20"/>
        </w:rPr>
        <w:t>The fee a merchant's bank pays to a cardholder's bank when a card is used.</w:t>
      </w:r>
    </w:p>
    <w:p>
      <w:pPr>
        <w:spacing w:before="120" w:after="20"/>
      </w:pPr>
      <w:r>
        <w:rPr>
          <w:b/>
          <w:color w:val="0A2240"/>
          <w:sz w:val="21"/>
        </w:rPr>
        <w:t>Interchange Plus Pricing</w:t>
      </w:r>
    </w:p>
    <w:p>
      <w:pPr>
        <w:spacing w:after="80"/>
        <w:ind w:left="0"/>
      </w:pPr>
      <w:r>
        <w:rPr>
          <w:color w:val="334155"/>
          <w:sz w:val="20"/>
        </w:rPr>
        <w:t>Transparent processor pricing showing interchange fees plus a fixed markup.</w:t>
      </w:r>
    </w:p>
    <w:p>
      <w:pPr>
        <w:spacing w:before="120" w:after="20"/>
      </w:pPr>
      <w:r>
        <w:rPr>
          <w:b/>
          <w:color w:val="0A2240"/>
          <w:sz w:val="21"/>
        </w:rPr>
        <w:t>Issuing Bank</w:t>
      </w:r>
    </w:p>
    <w:p>
      <w:pPr>
        <w:spacing w:after="80"/>
        <w:ind w:left="0"/>
      </w:pPr>
      <w:r>
        <w:rPr>
          <w:color w:val="334155"/>
          <w:sz w:val="20"/>
        </w:rPr>
        <w:t>The bank that issued a card to the cardholder.</w:t>
      </w:r>
    </w:p>
    <w:p>
      <w:pPr>
        <w:spacing w:before="120" w:after="20"/>
      </w:pPr>
      <w:r>
        <w:rPr>
          <w:b/>
          <w:color w:val="0A2240"/>
          <w:sz w:val="21"/>
        </w:rPr>
        <w:t>Level 2 Processing</w:t>
      </w:r>
    </w:p>
    <w:p>
      <w:pPr>
        <w:spacing w:after="80"/>
        <w:ind w:left="0"/>
      </w:pPr>
      <w:r>
        <w:rPr>
          <w:color w:val="334155"/>
          <w:sz w:val="20"/>
        </w:rPr>
        <w:t>Sending additional transaction data (PO numbers, tax) to qualify for lower B2B rates.</w:t>
      </w:r>
    </w:p>
    <w:p>
      <w:pPr>
        <w:spacing w:before="120" w:after="20"/>
      </w:pPr>
      <w:r>
        <w:rPr>
          <w:b/>
          <w:color w:val="0A2240"/>
          <w:sz w:val="21"/>
        </w:rPr>
        <w:t>Level 3 Processing</w:t>
      </w:r>
    </w:p>
    <w:p>
      <w:pPr>
        <w:spacing w:after="80"/>
        <w:ind w:left="0"/>
      </w:pPr>
      <w:r>
        <w:rPr>
          <w:color w:val="334155"/>
          <w:sz w:val="20"/>
        </w:rPr>
        <w:t>Even more detailed line-item data for B2B/government transactions, securing the lowest rates.</w:t>
      </w:r>
    </w:p>
    <w:p>
      <w:pPr>
        <w:spacing w:before="120" w:after="20"/>
      </w:pPr>
      <w:r>
        <w:rPr>
          <w:b/>
          <w:color w:val="0A2240"/>
          <w:sz w:val="21"/>
        </w:rPr>
        <w:t>MCC</w:t>
      </w:r>
    </w:p>
    <w:p>
      <w:pPr>
        <w:spacing w:after="80"/>
        <w:ind w:left="0"/>
      </w:pPr>
      <w:r>
        <w:rPr>
          <w:color w:val="334155"/>
          <w:sz w:val="20"/>
        </w:rPr>
        <w:t>Merchant Category Code — a 4-digit code identifying a merchant's industry, used for fees and rewards.</w:t>
      </w:r>
    </w:p>
    <w:p>
      <w:pPr>
        <w:spacing w:before="120" w:after="20"/>
      </w:pPr>
      <w:r>
        <w:rPr>
          <w:b/>
          <w:color w:val="0A2240"/>
          <w:sz w:val="21"/>
        </w:rPr>
        <w:t>Merchant Account</w:t>
      </w:r>
    </w:p>
    <w:p>
      <w:pPr>
        <w:spacing w:after="80"/>
        <w:ind w:left="0"/>
      </w:pPr>
      <w:r>
        <w:rPr>
          <w:color w:val="334155"/>
          <w:sz w:val="20"/>
        </w:rPr>
        <w:t>A business bank account that accepts credit and debit card payments.</w:t>
      </w:r>
    </w:p>
    <w:p>
      <w:pPr>
        <w:spacing w:before="120" w:after="20"/>
      </w:pPr>
      <w:r>
        <w:rPr>
          <w:b/>
          <w:color w:val="0A2240"/>
          <w:sz w:val="21"/>
        </w:rPr>
        <w:t>Merchant of Record (MoR)</w:t>
      </w:r>
    </w:p>
    <w:p>
      <w:pPr>
        <w:spacing w:after="80"/>
        <w:ind w:left="0"/>
      </w:pPr>
      <w:r>
        <w:rPr>
          <w:color w:val="334155"/>
          <w:sz w:val="20"/>
        </w:rPr>
        <w:t>The entity legally responsible for a transaction with the cardholder.</w:t>
      </w:r>
    </w:p>
    <w:p>
      <w:pPr>
        <w:spacing w:before="120" w:after="20"/>
      </w:pPr>
      <w:r>
        <w:rPr>
          <w:b/>
          <w:color w:val="0A2240"/>
          <w:sz w:val="21"/>
        </w:rPr>
        <w:t>Network Fee</w:t>
      </w:r>
    </w:p>
    <w:p>
      <w:pPr>
        <w:spacing w:after="80"/>
        <w:ind w:left="0"/>
      </w:pPr>
      <w:r>
        <w:rPr>
          <w:color w:val="334155"/>
          <w:sz w:val="20"/>
        </w:rPr>
        <w:t>Fees charged by Visa, Mastercard, Amex, or Discover for using their networks.</w:t>
      </w:r>
    </w:p>
    <w:p>
      <w:pPr>
        <w:spacing w:before="120" w:after="20"/>
      </w:pPr>
      <w:r>
        <w:rPr>
          <w:b/>
          <w:color w:val="0A2240"/>
          <w:sz w:val="21"/>
        </w:rPr>
        <w:t>Payment Gateway</w:t>
      </w:r>
    </w:p>
    <w:p>
      <w:pPr>
        <w:spacing w:after="80"/>
        <w:ind w:left="0"/>
      </w:pPr>
      <w:r>
        <w:rPr>
          <w:color w:val="334155"/>
          <w:sz w:val="20"/>
        </w:rPr>
        <w:t>Software that securely transmits card data from a customer to a payment processor.</w:t>
      </w:r>
    </w:p>
    <w:p>
      <w:pPr>
        <w:spacing w:before="120" w:after="20"/>
      </w:pPr>
      <w:r>
        <w:rPr>
          <w:b/>
          <w:color w:val="0A2240"/>
          <w:sz w:val="21"/>
        </w:rPr>
        <w:t>PCI Compliance</w:t>
      </w:r>
    </w:p>
    <w:p>
      <w:pPr>
        <w:spacing w:after="80"/>
        <w:ind w:left="0"/>
      </w:pPr>
      <w:r>
        <w:rPr>
          <w:color w:val="334155"/>
          <w:sz w:val="20"/>
        </w:rPr>
        <w:t>Following the Payment Card Industry Data Security Standards to protect card data.</w:t>
      </w:r>
    </w:p>
    <w:p>
      <w:pPr>
        <w:spacing w:before="120" w:after="20"/>
      </w:pPr>
      <w:r>
        <w:rPr>
          <w:b/>
          <w:color w:val="0A2240"/>
          <w:sz w:val="21"/>
        </w:rPr>
        <w:t>PCI DSS</w:t>
      </w:r>
    </w:p>
    <w:p>
      <w:pPr>
        <w:spacing w:after="80"/>
        <w:ind w:left="0"/>
      </w:pPr>
      <w:r>
        <w:rPr>
          <w:color w:val="334155"/>
          <w:sz w:val="20"/>
        </w:rPr>
        <w:t>Payment Card Industry Data Security Standard — the security framework for cardholder data.</w:t>
      </w:r>
    </w:p>
    <w:p>
      <w:pPr>
        <w:spacing w:before="120" w:after="20"/>
      </w:pPr>
      <w:r>
        <w:rPr>
          <w:b/>
          <w:color w:val="0A2240"/>
          <w:sz w:val="21"/>
        </w:rPr>
        <w:t>Point of Sale (POS)</w:t>
      </w:r>
    </w:p>
    <w:p>
      <w:pPr>
        <w:spacing w:after="80"/>
        <w:ind w:left="0"/>
      </w:pPr>
      <w:r>
        <w:rPr>
          <w:color w:val="334155"/>
          <w:sz w:val="20"/>
        </w:rPr>
        <w:t>The hardware and software used to accept customer payments at the time of sale.</w:t>
      </w:r>
    </w:p>
    <w:p>
      <w:pPr>
        <w:spacing w:before="120" w:after="20"/>
      </w:pPr>
      <w:r>
        <w:rPr>
          <w:b/>
          <w:color w:val="0A2240"/>
          <w:sz w:val="21"/>
        </w:rPr>
        <w:t>Pre-Authorization</w:t>
      </w:r>
    </w:p>
    <w:p>
      <w:pPr>
        <w:spacing w:after="80"/>
        <w:ind w:left="0"/>
      </w:pPr>
      <w:r>
        <w:rPr>
          <w:color w:val="334155"/>
          <w:sz w:val="20"/>
        </w:rPr>
        <w:t>A temporary hold on funds before a final transaction amount is known.</w:t>
      </w:r>
    </w:p>
    <w:p>
      <w:pPr>
        <w:spacing w:before="120" w:after="20"/>
      </w:pPr>
      <w:r>
        <w:rPr>
          <w:b/>
          <w:color w:val="0A2240"/>
          <w:sz w:val="21"/>
        </w:rPr>
        <w:t>Recurring Billing</w:t>
      </w:r>
    </w:p>
    <w:p>
      <w:pPr>
        <w:spacing w:after="80"/>
        <w:ind w:left="0"/>
      </w:pPr>
      <w:r>
        <w:rPr>
          <w:color w:val="334155"/>
          <w:sz w:val="20"/>
        </w:rPr>
        <w:t>Automatically charging a customer on a regular schedule.</w:t>
      </w:r>
    </w:p>
    <w:p>
      <w:pPr>
        <w:spacing w:before="120" w:after="20"/>
      </w:pPr>
      <w:r>
        <w:rPr>
          <w:b/>
          <w:color w:val="0A2240"/>
          <w:sz w:val="21"/>
        </w:rPr>
        <w:t>Refund</w:t>
      </w:r>
    </w:p>
    <w:p>
      <w:pPr>
        <w:spacing w:after="80"/>
        <w:ind w:left="0"/>
      </w:pPr>
      <w:r>
        <w:rPr>
          <w:color w:val="334155"/>
          <w:sz w:val="20"/>
        </w:rPr>
        <w:t>Returning funds to a customer through the original payment method.</w:t>
      </w:r>
    </w:p>
    <w:p>
      <w:pPr>
        <w:spacing w:before="120" w:after="20"/>
      </w:pPr>
      <w:r>
        <w:rPr>
          <w:b/>
          <w:color w:val="0A2240"/>
          <w:sz w:val="21"/>
        </w:rPr>
        <w:t>Reserve Account</w:t>
      </w:r>
    </w:p>
    <w:p>
      <w:pPr>
        <w:spacing w:after="80"/>
        <w:ind w:left="0"/>
      </w:pPr>
      <w:r>
        <w:rPr>
          <w:color w:val="334155"/>
          <w:sz w:val="20"/>
        </w:rPr>
        <w:t>Funds a processor holds back to cover potential chargebacks or losses.</w:t>
      </w:r>
    </w:p>
    <w:p>
      <w:pPr>
        <w:spacing w:before="120" w:after="20"/>
      </w:pPr>
      <w:r>
        <w:rPr>
          <w:b/>
          <w:color w:val="0A2240"/>
          <w:sz w:val="21"/>
        </w:rPr>
        <w:t>Risk Holdback</w:t>
      </w:r>
    </w:p>
    <w:p>
      <w:pPr>
        <w:spacing w:after="80"/>
        <w:ind w:left="0"/>
      </w:pPr>
      <w:r>
        <w:rPr>
          <w:color w:val="334155"/>
          <w:sz w:val="20"/>
        </w:rPr>
        <w:t>A processor's reserve withheld from settlements to cover potential chargebacks.</w:t>
      </w:r>
    </w:p>
    <w:p>
      <w:pPr>
        <w:spacing w:before="120" w:after="20"/>
      </w:pPr>
      <w:r>
        <w:rPr>
          <w:b/>
          <w:color w:val="0A2240"/>
          <w:sz w:val="21"/>
        </w:rPr>
        <w:t>Settlement</w:t>
      </w:r>
    </w:p>
    <w:p>
      <w:pPr>
        <w:spacing w:after="80"/>
        <w:ind w:left="0"/>
      </w:pPr>
      <w:r>
        <w:rPr>
          <w:color w:val="334155"/>
          <w:sz w:val="20"/>
        </w:rPr>
        <w:t>The transfer of funds from the cardholder's bank to the merchant's bank after a transaction.</w:t>
      </w:r>
    </w:p>
    <w:p>
      <w:pPr>
        <w:spacing w:before="120" w:after="20"/>
      </w:pPr>
      <w:r>
        <w:rPr>
          <w:b/>
          <w:color w:val="0A2240"/>
          <w:sz w:val="21"/>
        </w:rPr>
        <w:t>Subscription Billing</w:t>
      </w:r>
    </w:p>
    <w:p>
      <w:pPr>
        <w:spacing w:after="80"/>
        <w:ind w:left="0"/>
      </w:pPr>
      <w:r>
        <w:rPr>
          <w:color w:val="334155"/>
          <w:sz w:val="20"/>
        </w:rPr>
        <w:t>A specialized form of recurring billing for ongoing services with tiered plans.</w:t>
      </w:r>
    </w:p>
    <w:p>
      <w:pPr>
        <w:spacing w:before="120" w:after="20"/>
      </w:pPr>
      <w:r>
        <w:rPr>
          <w:b/>
          <w:color w:val="0A2240"/>
          <w:sz w:val="21"/>
        </w:rPr>
        <w:t>Surcharge</w:t>
      </w:r>
    </w:p>
    <w:p>
      <w:pPr>
        <w:spacing w:after="80"/>
        <w:ind w:left="0"/>
      </w:pPr>
      <w:r>
        <w:rPr>
          <w:color w:val="334155"/>
          <w:sz w:val="20"/>
        </w:rPr>
        <w:t>An additional fee charged to customers paying with credit cards, where legal.</w:t>
      </w:r>
    </w:p>
    <w:p>
      <w:pPr>
        <w:spacing w:before="120" w:after="20"/>
      </w:pPr>
      <w:r>
        <w:rPr>
          <w:b/>
          <w:color w:val="0A2240"/>
          <w:sz w:val="21"/>
        </w:rPr>
        <w:t>Tiered Pricing</w:t>
      </w:r>
    </w:p>
    <w:p>
      <w:pPr>
        <w:spacing w:after="80"/>
        <w:ind w:left="0"/>
      </w:pPr>
      <w:r>
        <w:rPr>
          <w:color w:val="334155"/>
          <w:sz w:val="20"/>
        </w:rPr>
        <w:t>Processor pricing with tiers (qualified, mid-qualified, non-qualified) — often opaque.</w:t>
      </w:r>
    </w:p>
    <w:p>
      <w:pPr>
        <w:spacing w:before="120" w:after="20"/>
      </w:pPr>
      <w:r>
        <w:rPr>
          <w:b/>
          <w:color w:val="0A2240"/>
          <w:sz w:val="21"/>
        </w:rPr>
        <w:t>Tip Adjustment</w:t>
      </w:r>
    </w:p>
    <w:p>
      <w:pPr>
        <w:spacing w:after="80"/>
        <w:ind w:left="0"/>
      </w:pPr>
      <w:r>
        <w:rPr>
          <w:color w:val="334155"/>
          <w:sz w:val="20"/>
        </w:rPr>
        <w:t>Increasing a captured transaction amount to account for a tip.</w:t>
      </w:r>
    </w:p>
    <w:p>
      <w:pPr>
        <w:spacing w:before="120" w:after="20"/>
      </w:pPr>
      <w:r>
        <w:rPr>
          <w:b/>
          <w:color w:val="0A2240"/>
          <w:sz w:val="21"/>
        </w:rPr>
        <w:t>Tokenization (Payments)</w:t>
      </w:r>
    </w:p>
    <w:p>
      <w:pPr>
        <w:spacing w:after="80"/>
        <w:ind w:left="0"/>
      </w:pPr>
      <w:r>
        <w:rPr>
          <w:color w:val="334155"/>
          <w:sz w:val="20"/>
        </w:rPr>
        <w:t>Replacing sensitive card data with a non-sensitive token for storage and transmission.</w:t>
      </w:r>
    </w:p>
    <w:p>
      <w:pPr>
        <w:spacing w:before="120" w:after="20"/>
      </w:pPr>
      <w:r>
        <w:rPr>
          <w:b/>
          <w:color w:val="0A2240"/>
          <w:sz w:val="21"/>
        </w:rPr>
        <w:t>Underwriting (Merchant)</w:t>
      </w:r>
    </w:p>
    <w:p>
      <w:pPr>
        <w:spacing w:after="80"/>
        <w:ind w:left="0"/>
      </w:pPr>
      <w:r>
        <w:rPr>
          <w:color w:val="334155"/>
          <w:sz w:val="20"/>
        </w:rPr>
        <w:t>A processor's review of a business before approving payment processing services.</w:t>
      </w:r>
    </w:p>
    <w:p>
      <w:pPr>
        <w:spacing w:before="120" w:after="20"/>
      </w:pPr>
      <w:r>
        <w:rPr>
          <w:b/>
          <w:color w:val="0A2240"/>
          <w:sz w:val="21"/>
        </w:rPr>
        <w:t>Void</w:t>
      </w:r>
    </w:p>
    <w:p>
      <w:pPr>
        <w:spacing w:after="80"/>
        <w:ind w:left="0"/>
      </w:pPr>
      <w:r>
        <w:rPr>
          <w:color w:val="334155"/>
          <w:sz w:val="20"/>
        </w:rPr>
        <w:t>Cancelling a transaction before it settles, with no funds movement.</w:t>
      </w:r>
    </w:p>
    <w:p>
      <w:r>
        <w:rPr>
          <w:b/>
          <w:color w:val="B22234"/>
          <w:sz w:val="28"/>
        </w:rPr>
        <w:t>Preferred &amp; Tiered Funding</w:t>
      </w:r>
    </w:p>
    <w:p>
      <w:pPr>
        <w:spacing w:before="120" w:after="20"/>
      </w:pPr>
      <w:r>
        <w:rPr>
          <w:b/>
          <w:color w:val="0A2240"/>
          <w:sz w:val="21"/>
        </w:rPr>
        <w:t>Cap Table</w:t>
      </w:r>
    </w:p>
    <w:p>
      <w:pPr>
        <w:spacing w:after="80"/>
        <w:ind w:left="0"/>
      </w:pPr>
      <w:r>
        <w:rPr>
          <w:color w:val="334155"/>
          <w:sz w:val="20"/>
        </w:rPr>
        <w:t>A spreadsheet showing all equity holders and their ownership percentages.</w:t>
      </w:r>
    </w:p>
    <w:p>
      <w:pPr>
        <w:spacing w:before="120" w:after="20"/>
      </w:pPr>
      <w:r>
        <w:rPr>
          <w:b/>
          <w:color w:val="0A2240"/>
          <w:sz w:val="21"/>
        </w:rPr>
        <w:t>Class A Units</w:t>
      </w:r>
    </w:p>
    <w:p>
      <w:pPr>
        <w:spacing w:after="80"/>
        <w:ind w:left="0"/>
      </w:pPr>
      <w:r>
        <w:rPr>
          <w:color w:val="334155"/>
          <w:sz w:val="20"/>
        </w:rPr>
        <w:t>Senior equity units with priority distribution rights in a partnership.</w:t>
      </w:r>
    </w:p>
    <w:p>
      <w:pPr>
        <w:spacing w:before="120" w:after="20"/>
      </w:pPr>
      <w:r>
        <w:rPr>
          <w:b/>
          <w:color w:val="0A2240"/>
          <w:sz w:val="21"/>
        </w:rPr>
        <w:t>Class B Units</w:t>
      </w:r>
    </w:p>
    <w:p>
      <w:pPr>
        <w:spacing w:after="80"/>
        <w:ind w:left="0"/>
      </w:pPr>
      <w:r>
        <w:rPr>
          <w:color w:val="334155"/>
          <w:sz w:val="20"/>
        </w:rPr>
        <w:t>Junior equity units that participate in distributions after Class A.</w:t>
      </w:r>
    </w:p>
    <w:p>
      <w:pPr>
        <w:spacing w:before="120" w:after="20"/>
      </w:pPr>
      <w:r>
        <w:rPr>
          <w:b/>
          <w:color w:val="0A2240"/>
          <w:sz w:val="21"/>
        </w:rPr>
        <w:t>Convertible Note</w:t>
      </w:r>
    </w:p>
    <w:p>
      <w:pPr>
        <w:spacing w:after="80"/>
        <w:ind w:left="0"/>
      </w:pPr>
      <w:r>
        <w:rPr>
          <w:color w:val="334155"/>
          <w:sz w:val="20"/>
        </w:rPr>
        <w:t>Debt that can convert to equity, typically at a future financing event.</w:t>
      </w:r>
    </w:p>
    <w:p>
      <w:pPr>
        <w:spacing w:before="120" w:after="20"/>
      </w:pPr>
      <w:r>
        <w:rPr>
          <w:b/>
          <w:color w:val="0A2240"/>
          <w:sz w:val="21"/>
        </w:rPr>
        <w:t>Convertible Preferred</w:t>
      </w:r>
    </w:p>
    <w:p>
      <w:pPr>
        <w:spacing w:after="80"/>
        <w:ind w:left="0"/>
      </w:pPr>
      <w:r>
        <w:rPr>
          <w:color w:val="334155"/>
          <w:sz w:val="20"/>
        </w:rPr>
        <w:t>Preferred equity that can convert to common equity under specified terms.</w:t>
      </w:r>
    </w:p>
    <w:p>
      <w:pPr>
        <w:spacing w:before="120" w:after="20"/>
      </w:pPr>
      <w:r>
        <w:rPr>
          <w:b/>
          <w:color w:val="0A2240"/>
          <w:sz w:val="21"/>
        </w:rPr>
        <w:t>Equity Kicker</w:t>
      </w:r>
    </w:p>
    <w:p>
      <w:pPr>
        <w:spacing w:after="80"/>
        <w:ind w:left="0"/>
      </w:pPr>
      <w:r>
        <w:rPr>
          <w:color w:val="334155"/>
          <w:sz w:val="20"/>
        </w:rPr>
        <w:t>An equity participation added to a debt instrument as a return enhancer.</w:t>
      </w:r>
    </w:p>
    <w:p>
      <w:pPr>
        <w:spacing w:before="120" w:after="20"/>
      </w:pPr>
      <w:r>
        <w:rPr>
          <w:b/>
          <w:color w:val="0A2240"/>
          <w:sz w:val="21"/>
        </w:rPr>
        <w:t>Hard Pref</w:t>
      </w:r>
    </w:p>
    <w:p>
      <w:pPr>
        <w:spacing w:after="80"/>
        <w:ind w:left="0"/>
      </w:pPr>
      <w:r>
        <w:rPr>
          <w:color w:val="334155"/>
          <w:sz w:val="20"/>
        </w:rPr>
        <w:t>A non-cumulative preferred return that doesn't accrue if unpaid.</w:t>
      </w:r>
    </w:p>
    <w:p>
      <w:pPr>
        <w:spacing w:before="120" w:after="20"/>
      </w:pPr>
      <w:r>
        <w:rPr>
          <w:b/>
          <w:color w:val="0A2240"/>
          <w:sz w:val="21"/>
        </w:rPr>
        <w:t>Junior Tranche</w:t>
      </w:r>
    </w:p>
    <w:p>
      <w:pPr>
        <w:spacing w:after="80"/>
        <w:ind w:left="0"/>
      </w:pPr>
      <w:r>
        <w:rPr>
          <w:color w:val="334155"/>
          <w:sz w:val="20"/>
        </w:rPr>
        <w:t>Lower-priority debt repaid after senior tranches, with higher yields.</w:t>
      </w:r>
    </w:p>
    <w:p>
      <w:pPr>
        <w:spacing w:before="120" w:after="20"/>
      </w:pPr>
      <w:r>
        <w:rPr>
          <w:b/>
          <w:color w:val="0A2240"/>
          <w:sz w:val="21"/>
        </w:rPr>
        <w:t>Last Money In</w:t>
      </w:r>
    </w:p>
    <w:p>
      <w:pPr>
        <w:spacing w:after="80"/>
        <w:ind w:left="0"/>
      </w:pPr>
      <w:r>
        <w:rPr>
          <w:color w:val="334155"/>
          <w:sz w:val="20"/>
        </w:rPr>
        <w:t>Late-stage capital with priority distribution rights to compensate for risk and timing.</w:t>
      </w:r>
    </w:p>
    <w:p>
      <w:pPr>
        <w:spacing w:before="120" w:after="20"/>
      </w:pPr>
      <w:r>
        <w:rPr>
          <w:b/>
          <w:color w:val="0A2240"/>
          <w:sz w:val="21"/>
        </w:rPr>
        <w:t>Mezzanine Stack</w:t>
      </w:r>
    </w:p>
    <w:p>
      <w:pPr>
        <w:spacing w:after="80"/>
        <w:ind w:left="0"/>
      </w:pPr>
      <w:r>
        <w:rPr>
          <w:color w:val="334155"/>
          <w:sz w:val="20"/>
        </w:rPr>
        <w:t>The mid-layer of capital between senior debt and equity in a deal.</w:t>
      </w:r>
    </w:p>
    <w:p>
      <w:pPr>
        <w:spacing w:before="120" w:after="20"/>
      </w:pPr>
      <w:r>
        <w:rPr>
          <w:b/>
          <w:color w:val="0A2240"/>
          <w:sz w:val="21"/>
        </w:rPr>
        <w:t>PIK Interest</w:t>
      </w:r>
    </w:p>
    <w:p>
      <w:pPr>
        <w:spacing w:after="80"/>
        <w:ind w:left="0"/>
      </w:pPr>
      <w:r>
        <w:rPr>
          <w:color w:val="334155"/>
          <w:sz w:val="20"/>
        </w:rPr>
        <w:t>Payment-In-Kind — interest added to the loan balance rather than paid in cash.</w:t>
      </w:r>
    </w:p>
    <w:p>
      <w:pPr>
        <w:spacing w:before="120" w:after="20"/>
      </w:pPr>
      <w:r>
        <w:rPr>
          <w:b/>
          <w:color w:val="0A2240"/>
          <w:sz w:val="21"/>
        </w:rPr>
        <w:t>Preferred Equity Catch-Up</w:t>
      </w:r>
    </w:p>
    <w:p>
      <w:pPr>
        <w:spacing w:after="80"/>
        <w:ind w:left="0"/>
      </w:pPr>
      <w:r>
        <w:rPr>
          <w:color w:val="334155"/>
          <w:sz w:val="20"/>
        </w:rPr>
        <w:t>A provision allowing preferred investors to receive a larger share of distributions until a threshold is met.</w:t>
      </w:r>
    </w:p>
    <w:p>
      <w:pPr>
        <w:spacing w:before="120" w:after="20"/>
      </w:pPr>
      <w:r>
        <w:rPr>
          <w:b/>
          <w:color w:val="0A2240"/>
          <w:sz w:val="21"/>
        </w:rPr>
        <w:t>Senior Tranche</w:t>
      </w:r>
    </w:p>
    <w:p>
      <w:pPr>
        <w:spacing w:after="80"/>
        <w:ind w:left="0"/>
      </w:pPr>
      <w:r>
        <w:rPr>
          <w:color w:val="334155"/>
          <w:sz w:val="20"/>
        </w:rPr>
        <w:t>The highest-priority debt slice in a structured deal, repaid first.</w:t>
      </w:r>
    </w:p>
    <w:p>
      <w:pPr>
        <w:spacing w:before="120" w:after="20"/>
      </w:pPr>
      <w:r>
        <w:rPr>
          <w:b/>
          <w:color w:val="0A2240"/>
          <w:sz w:val="21"/>
        </w:rPr>
        <w:t>Soft Pref</w:t>
      </w:r>
    </w:p>
    <w:p>
      <w:pPr>
        <w:spacing w:after="80"/>
        <w:ind w:left="0"/>
      </w:pPr>
      <w:r>
        <w:rPr>
          <w:color w:val="334155"/>
          <w:sz w:val="20"/>
        </w:rPr>
        <w:t>A cumulative preferred return that accrues unpaid amounts.</w:t>
      </w:r>
    </w:p>
    <w:p>
      <w:pPr>
        <w:spacing w:before="120" w:after="20"/>
      </w:pPr>
      <w:r>
        <w:rPr>
          <w:b/>
          <w:color w:val="0A2240"/>
          <w:sz w:val="21"/>
        </w:rPr>
        <w:t>Subordination Agreement</w:t>
      </w:r>
    </w:p>
    <w:p>
      <w:pPr>
        <w:spacing w:after="80"/>
        <w:ind w:left="0"/>
      </w:pPr>
      <w:r>
        <w:rPr>
          <w:color w:val="334155"/>
          <w:sz w:val="20"/>
        </w:rPr>
        <w:t>A contract establishing the order of repayment between multiple lenders.</w:t>
      </w:r>
    </w:p>
    <w:p>
      <w:r>
        <w:rPr>
          <w:b/>
          <w:color w:val="B22234"/>
          <w:sz w:val="28"/>
        </w:rPr>
        <w:t>Private &amp; Hard Money</w:t>
      </w:r>
    </w:p>
    <w:p>
      <w:pPr>
        <w:spacing w:before="120" w:after="20"/>
      </w:pPr>
      <w:r>
        <w:rPr>
          <w:b/>
          <w:color w:val="0A2240"/>
          <w:sz w:val="21"/>
        </w:rPr>
        <w:t>After-Repair Value (ARV)</w:t>
      </w:r>
    </w:p>
    <w:p>
      <w:pPr>
        <w:spacing w:after="80"/>
        <w:ind w:left="0"/>
      </w:pPr>
      <w:r>
        <w:rPr>
          <w:color w:val="334155"/>
          <w:sz w:val="20"/>
        </w:rPr>
        <w:t>The estimated value of a property after planned renovations are complete.</w:t>
      </w:r>
    </w:p>
    <w:p>
      <w:pPr>
        <w:spacing w:before="120" w:after="20"/>
      </w:pPr>
      <w:r>
        <w:rPr>
          <w:b/>
          <w:color w:val="0A2240"/>
          <w:sz w:val="21"/>
        </w:rPr>
        <w:t>Asset-Based Lending</w:t>
      </w:r>
    </w:p>
    <w:p>
      <w:pPr>
        <w:spacing w:after="80"/>
        <w:ind w:left="0"/>
      </w:pPr>
      <w:r>
        <w:rPr>
          <w:color w:val="334155"/>
          <w:sz w:val="20"/>
        </w:rPr>
        <w:t>Lending based primarily on the value of collateral rather than borrower income.</w:t>
      </w:r>
    </w:p>
    <w:p>
      <w:pPr>
        <w:spacing w:before="120" w:after="20"/>
      </w:pPr>
      <w:r>
        <w:rPr>
          <w:b/>
          <w:color w:val="0A2240"/>
          <w:sz w:val="21"/>
        </w:rPr>
        <w:t>Bad-Boy Carve-Out</w:t>
      </w:r>
    </w:p>
    <w:p>
      <w:pPr>
        <w:spacing w:after="80"/>
        <w:ind w:left="0"/>
      </w:pPr>
      <w:r>
        <w:rPr>
          <w:color w:val="334155"/>
          <w:sz w:val="20"/>
        </w:rPr>
        <w:t>Non-recourse loan exceptions triggered by fraud, waste, or misrepresentation.</w:t>
      </w:r>
    </w:p>
    <w:p>
      <w:pPr>
        <w:spacing w:before="120" w:after="20"/>
      </w:pPr>
      <w:r>
        <w:rPr>
          <w:b/>
          <w:color w:val="0A2240"/>
          <w:sz w:val="21"/>
        </w:rPr>
        <w:t>Bridge Loan</w:t>
      </w:r>
    </w:p>
    <w:p>
      <w:pPr>
        <w:spacing w:after="80"/>
        <w:ind w:left="0"/>
      </w:pPr>
      <w:r>
        <w:rPr>
          <w:color w:val="334155"/>
          <w:sz w:val="20"/>
        </w:rPr>
        <w:t>Short-term financing used to bridge the gap between buying a new property and selling another.</w:t>
      </w:r>
    </w:p>
    <w:p>
      <w:pPr>
        <w:spacing w:before="120" w:after="20"/>
      </w:pPr>
      <w:r>
        <w:rPr>
          <w:b/>
          <w:color w:val="0A2240"/>
          <w:sz w:val="21"/>
        </w:rPr>
        <w:t>Construction-to-Perm Loan</w:t>
      </w:r>
    </w:p>
    <w:p>
      <w:pPr>
        <w:spacing w:after="80"/>
        <w:ind w:left="0"/>
      </w:pPr>
      <w:r>
        <w:rPr>
          <w:color w:val="334155"/>
          <w:sz w:val="20"/>
        </w:rPr>
        <w:t>A single closing that funds construction then converts to a permanent mortgage.</w:t>
      </w:r>
    </w:p>
    <w:p>
      <w:pPr>
        <w:spacing w:before="120" w:after="20"/>
      </w:pPr>
      <w:r>
        <w:rPr>
          <w:b/>
          <w:color w:val="0A2240"/>
          <w:sz w:val="21"/>
        </w:rPr>
        <w:t>Cross-Collateralization</w:t>
      </w:r>
    </w:p>
    <w:p>
      <w:pPr>
        <w:spacing w:after="80"/>
        <w:ind w:left="0"/>
      </w:pPr>
      <w:r>
        <w:rPr>
          <w:color w:val="334155"/>
          <w:sz w:val="20"/>
        </w:rPr>
        <w:t>Using one asset as collateral for multiple loans, or multiple assets to secure one loan.</w:t>
      </w:r>
    </w:p>
    <w:p>
      <w:pPr>
        <w:spacing w:before="120" w:after="20"/>
      </w:pPr>
      <w:r>
        <w:rPr>
          <w:b/>
          <w:color w:val="0A2240"/>
          <w:sz w:val="21"/>
        </w:rPr>
        <w:t>Cross-Default</w:t>
      </w:r>
    </w:p>
    <w:p>
      <w:pPr>
        <w:spacing w:after="80"/>
        <w:ind w:left="0"/>
      </w:pPr>
      <w:r>
        <w:rPr>
          <w:color w:val="334155"/>
          <w:sz w:val="20"/>
        </w:rPr>
        <w:t>A loan provision triggering default on one loan if another loan is in default.</w:t>
      </w:r>
    </w:p>
    <w:p>
      <w:pPr>
        <w:spacing w:before="120" w:after="20"/>
      </w:pPr>
      <w:r>
        <w:rPr>
          <w:b/>
          <w:color w:val="0A2240"/>
          <w:sz w:val="21"/>
        </w:rPr>
        <w:t>Draw Schedule</w:t>
      </w:r>
    </w:p>
    <w:p>
      <w:pPr>
        <w:spacing w:after="80"/>
        <w:ind w:left="0"/>
      </w:pPr>
      <w:r>
        <w:rPr>
          <w:color w:val="334155"/>
          <w:sz w:val="20"/>
        </w:rPr>
        <w:t>A pre-agreed timetable for releasing rehab or construction funds as work progresses.</w:t>
      </w:r>
    </w:p>
    <w:p>
      <w:pPr>
        <w:spacing w:before="120" w:after="20"/>
      </w:pPr>
      <w:r>
        <w:rPr>
          <w:b/>
          <w:color w:val="0A2240"/>
          <w:sz w:val="21"/>
        </w:rPr>
        <w:t>Equity Cushion</w:t>
      </w:r>
    </w:p>
    <w:p>
      <w:pPr>
        <w:spacing w:after="80"/>
        <w:ind w:left="0"/>
      </w:pPr>
      <w:r>
        <w:rPr>
          <w:color w:val="334155"/>
          <w:sz w:val="20"/>
        </w:rPr>
        <w:t>The owner's existing equity providing extra security to a private lender.</w:t>
      </w:r>
    </w:p>
    <w:p>
      <w:pPr>
        <w:spacing w:before="120" w:after="20"/>
      </w:pPr>
      <w:r>
        <w:rPr>
          <w:b/>
          <w:color w:val="0A2240"/>
          <w:sz w:val="21"/>
        </w:rPr>
        <w:t>Exit Strategy</w:t>
      </w:r>
    </w:p>
    <w:p>
      <w:pPr>
        <w:spacing w:after="80"/>
        <w:ind w:left="0"/>
      </w:pPr>
      <w:r>
        <w:rPr>
          <w:color w:val="334155"/>
          <w:sz w:val="20"/>
        </w:rPr>
        <w:t>The plan for paying off a short-term loan — refinance, sale, or new financing.</w:t>
      </w:r>
    </w:p>
    <w:p>
      <w:pPr>
        <w:spacing w:before="120" w:after="20"/>
      </w:pPr>
      <w:r>
        <w:rPr>
          <w:b/>
          <w:color w:val="0A2240"/>
          <w:sz w:val="21"/>
        </w:rPr>
        <w:t>Fix-and-Flip Loan</w:t>
      </w:r>
    </w:p>
    <w:p>
      <w:pPr>
        <w:spacing w:after="80"/>
        <w:ind w:left="0"/>
      </w:pPr>
      <w:r>
        <w:rPr>
          <w:color w:val="334155"/>
          <w:sz w:val="20"/>
        </w:rPr>
        <w:t>A short-term loan to acquire and renovate a property for quick resale.</w:t>
      </w:r>
    </w:p>
    <w:p>
      <w:pPr>
        <w:spacing w:before="120" w:after="20"/>
      </w:pPr>
      <w:r>
        <w:rPr>
          <w:b/>
          <w:color w:val="0A2240"/>
          <w:sz w:val="21"/>
        </w:rPr>
        <w:t>Gap Funding</w:t>
      </w:r>
    </w:p>
    <w:p>
      <w:pPr>
        <w:spacing w:after="80"/>
        <w:ind w:left="0"/>
      </w:pPr>
      <w:r>
        <w:rPr>
          <w:color w:val="334155"/>
          <w:sz w:val="20"/>
        </w:rPr>
        <w:t>Capital that fills the difference between a senior loan and the borrower's available equity.</w:t>
      </w:r>
    </w:p>
    <w:p>
      <w:pPr>
        <w:spacing w:before="120" w:after="20"/>
      </w:pPr>
      <w:r>
        <w:rPr>
          <w:b/>
          <w:color w:val="0A2240"/>
          <w:sz w:val="21"/>
        </w:rPr>
        <w:t>Hard Money Loan</w:t>
      </w:r>
    </w:p>
    <w:p>
      <w:pPr>
        <w:spacing w:after="80"/>
        <w:ind w:left="0"/>
      </w:pPr>
      <w:r>
        <w:rPr>
          <w:color w:val="334155"/>
          <w:sz w:val="20"/>
        </w:rPr>
        <w:t>A short-term, asset-based loan from a private lender, typically at higher rates than banks.</w:t>
      </w:r>
    </w:p>
    <w:p>
      <w:pPr>
        <w:spacing w:before="120" w:after="20"/>
      </w:pPr>
      <w:r>
        <w:rPr>
          <w:b/>
          <w:color w:val="0A2240"/>
          <w:sz w:val="21"/>
        </w:rPr>
        <w:t>Holdback</w:t>
      </w:r>
    </w:p>
    <w:p>
      <w:pPr>
        <w:spacing w:after="80"/>
        <w:ind w:left="0"/>
      </w:pPr>
      <w:r>
        <w:rPr>
          <w:color w:val="334155"/>
          <w:sz w:val="20"/>
        </w:rPr>
        <w:t>Loan proceeds held in reserve and released as construction or rehab milestones are met.</w:t>
      </w:r>
    </w:p>
    <w:p>
      <w:pPr>
        <w:spacing w:before="120" w:after="20"/>
      </w:pPr>
      <w:r>
        <w:rPr>
          <w:b/>
          <w:color w:val="0A2240"/>
          <w:sz w:val="21"/>
        </w:rPr>
        <w:t>Interest Reserve</w:t>
      </w:r>
    </w:p>
    <w:p>
      <w:pPr>
        <w:spacing w:after="80"/>
        <w:ind w:left="0"/>
      </w:pPr>
      <w:r>
        <w:rPr>
          <w:color w:val="334155"/>
          <w:sz w:val="20"/>
        </w:rPr>
        <w:t>Loan funds set aside to cover interest payments during a rehab or construction period.</w:t>
      </w:r>
    </w:p>
    <w:p>
      <w:pPr>
        <w:spacing w:before="120" w:after="20"/>
      </w:pPr>
      <w:r>
        <w:rPr>
          <w:b/>
          <w:color w:val="0A2240"/>
          <w:sz w:val="21"/>
        </w:rPr>
        <w:t>Lender Inspection</w:t>
      </w:r>
    </w:p>
    <w:p>
      <w:pPr>
        <w:spacing w:after="80"/>
        <w:ind w:left="0"/>
      </w:pPr>
      <w:r>
        <w:rPr>
          <w:color w:val="334155"/>
          <w:sz w:val="20"/>
        </w:rPr>
        <w:t>A periodic site visit by the hard-money lender to verify construction progress.</w:t>
      </w:r>
    </w:p>
    <w:p>
      <w:pPr>
        <w:spacing w:before="120" w:after="20"/>
      </w:pPr>
      <w:r>
        <w:rPr>
          <w:b/>
          <w:color w:val="0A2240"/>
          <w:sz w:val="21"/>
        </w:rPr>
        <w:t>Loan-to-ARV (LTARV)</w:t>
      </w:r>
    </w:p>
    <w:p>
      <w:pPr>
        <w:spacing w:after="80"/>
        <w:ind w:left="0"/>
      </w:pPr>
      <w:r>
        <w:rPr>
          <w:color w:val="334155"/>
          <w:sz w:val="20"/>
        </w:rPr>
        <w:t>Loan amount as a percentage of after-repair value, common in rehab loans.</w:t>
      </w:r>
    </w:p>
    <w:p>
      <w:pPr>
        <w:spacing w:before="120" w:after="20"/>
      </w:pPr>
      <w:r>
        <w:rPr>
          <w:b/>
          <w:color w:val="0A2240"/>
          <w:sz w:val="21"/>
        </w:rPr>
        <w:t>Loan-to-Cost (LTC)</w:t>
      </w:r>
    </w:p>
    <w:p>
      <w:pPr>
        <w:spacing w:after="80"/>
        <w:ind w:left="0"/>
      </w:pPr>
      <w:r>
        <w:rPr>
          <w:color w:val="334155"/>
          <w:sz w:val="20"/>
        </w:rPr>
        <w:t>Loan amount as a percentage of total project cost, used in fix-and-flip and construction lending.</w:t>
      </w:r>
    </w:p>
    <w:p>
      <w:pPr>
        <w:spacing w:before="120" w:after="20"/>
      </w:pPr>
      <w:r>
        <w:rPr>
          <w:b/>
          <w:color w:val="0A2240"/>
          <w:sz w:val="21"/>
        </w:rPr>
        <w:t>Maturity Default</w:t>
      </w:r>
    </w:p>
    <w:p>
      <w:pPr>
        <w:spacing w:after="80"/>
        <w:ind w:left="0"/>
      </w:pPr>
      <w:r>
        <w:rPr>
          <w:color w:val="334155"/>
          <w:sz w:val="20"/>
        </w:rPr>
        <w:t>Defaulting because a loan reaches its end date and isn't paid off.</w:t>
      </w:r>
    </w:p>
    <w:p>
      <w:pPr>
        <w:spacing w:before="120" w:after="20"/>
      </w:pPr>
      <w:r>
        <w:rPr>
          <w:b/>
          <w:color w:val="0A2240"/>
          <w:sz w:val="21"/>
        </w:rPr>
        <w:t>Mezzanine Loan</w:t>
      </w:r>
    </w:p>
    <w:p>
      <w:pPr>
        <w:spacing w:after="80"/>
        <w:ind w:left="0"/>
      </w:pPr>
      <w:r>
        <w:rPr>
          <w:color w:val="334155"/>
          <w:sz w:val="20"/>
        </w:rPr>
        <w:t>A hybrid debt-equity loan that is subordinate to senior debt and often convertible to equity on default.</w:t>
      </w:r>
    </w:p>
    <w:p>
      <w:pPr>
        <w:spacing w:before="120" w:after="20"/>
      </w:pPr>
      <w:r>
        <w:rPr>
          <w:b/>
          <w:color w:val="0A2240"/>
          <w:sz w:val="21"/>
        </w:rPr>
        <w:t>Mini-Perm Loan</w:t>
      </w:r>
    </w:p>
    <w:p>
      <w:pPr>
        <w:spacing w:after="80"/>
        <w:ind w:left="0"/>
      </w:pPr>
      <w:r>
        <w:rPr>
          <w:color w:val="334155"/>
          <w:sz w:val="20"/>
        </w:rPr>
        <w:t>A medium-term loan (3-5 years) bridging construction completion to permanent financing.</w:t>
      </w:r>
    </w:p>
    <w:p>
      <w:pPr>
        <w:spacing w:before="120" w:after="20"/>
      </w:pPr>
      <w:r>
        <w:rPr>
          <w:b/>
          <w:color w:val="0A2240"/>
          <w:sz w:val="21"/>
        </w:rPr>
        <w:t>Non-Recourse Loan</w:t>
      </w:r>
    </w:p>
    <w:p>
      <w:pPr>
        <w:spacing w:after="80"/>
        <w:ind w:left="0"/>
      </w:pPr>
      <w:r>
        <w:rPr>
          <w:color w:val="334155"/>
          <w:sz w:val="20"/>
        </w:rPr>
        <w:t>A loan where the lender's only remedy is the collateral, not the borrower personally.</w:t>
      </w:r>
    </w:p>
    <w:p>
      <w:pPr>
        <w:spacing w:before="120" w:after="20"/>
      </w:pPr>
      <w:r>
        <w:rPr>
          <w:b/>
          <w:color w:val="0A2240"/>
          <w:sz w:val="21"/>
        </w:rPr>
        <w:t>Points and Interest</w:t>
      </w:r>
    </w:p>
    <w:p>
      <w:pPr>
        <w:spacing w:after="80"/>
        <w:ind w:left="0"/>
      </w:pPr>
      <w:r>
        <w:rPr>
          <w:color w:val="334155"/>
          <w:sz w:val="20"/>
        </w:rPr>
        <w:t>The two main costs of a hard money loan — upfront points plus monthly interest.</w:t>
      </w:r>
    </w:p>
    <w:p>
      <w:pPr>
        <w:spacing w:before="120" w:after="20"/>
      </w:pPr>
      <w:r>
        <w:rPr>
          <w:b/>
          <w:color w:val="0A2240"/>
          <w:sz w:val="21"/>
        </w:rPr>
        <w:t>Prepayment Clause</w:t>
      </w:r>
    </w:p>
    <w:p>
      <w:pPr>
        <w:spacing w:after="80"/>
        <w:ind w:left="0"/>
      </w:pPr>
      <w:r>
        <w:rPr>
          <w:color w:val="334155"/>
          <w:sz w:val="20"/>
        </w:rPr>
        <w:t>A loan provision dictating any fees for paying off a private loan early.</w:t>
      </w:r>
    </w:p>
    <w:p>
      <w:pPr>
        <w:spacing w:before="120" w:after="20"/>
      </w:pPr>
      <w:r>
        <w:rPr>
          <w:b/>
          <w:color w:val="0A2240"/>
          <w:sz w:val="21"/>
        </w:rPr>
        <w:t>Private Money Loan</w:t>
      </w:r>
    </w:p>
    <w:p>
      <w:pPr>
        <w:spacing w:after="80"/>
        <w:ind w:left="0"/>
      </w:pPr>
      <w:r>
        <w:rPr>
          <w:color w:val="334155"/>
          <w:sz w:val="20"/>
        </w:rPr>
        <w:t>A loan from an individual or non-institutional lender, often friends, family, or investors.</w:t>
      </w:r>
    </w:p>
    <w:p>
      <w:pPr>
        <w:spacing w:before="120" w:after="20"/>
      </w:pPr>
      <w:r>
        <w:rPr>
          <w:b/>
          <w:color w:val="0A2240"/>
          <w:sz w:val="21"/>
        </w:rPr>
        <w:t>Recourse Carveouts</w:t>
      </w:r>
    </w:p>
    <w:p>
      <w:pPr>
        <w:spacing w:after="80"/>
        <w:ind w:left="0"/>
      </w:pPr>
      <w:r>
        <w:rPr>
          <w:color w:val="334155"/>
          <w:sz w:val="20"/>
        </w:rPr>
        <w:t>Specific carve-outs in non-recourse loans triggering personal liability.</w:t>
      </w:r>
    </w:p>
    <w:p>
      <w:pPr>
        <w:spacing w:before="120" w:after="20"/>
      </w:pPr>
      <w:r>
        <w:rPr>
          <w:b/>
          <w:color w:val="0A2240"/>
          <w:sz w:val="21"/>
        </w:rPr>
        <w:t>Recourse Loan</w:t>
      </w:r>
    </w:p>
    <w:p>
      <w:pPr>
        <w:spacing w:after="80"/>
        <w:ind w:left="0"/>
      </w:pPr>
      <w:r>
        <w:rPr>
          <w:color w:val="334155"/>
          <w:sz w:val="20"/>
        </w:rPr>
        <w:t>A loan where the borrower is personally liable beyond the collateral.</w:t>
      </w:r>
    </w:p>
    <w:p>
      <w:pPr>
        <w:spacing w:before="120" w:after="20"/>
      </w:pPr>
      <w:r>
        <w:rPr>
          <w:b/>
          <w:color w:val="0A2240"/>
          <w:sz w:val="21"/>
        </w:rPr>
        <w:t>Soft Money Loan</w:t>
      </w:r>
    </w:p>
    <w:p>
      <w:pPr>
        <w:spacing w:after="80"/>
        <w:ind w:left="0"/>
      </w:pPr>
      <w:r>
        <w:rPr>
          <w:color w:val="334155"/>
          <w:sz w:val="20"/>
        </w:rPr>
        <w:t>An asset-backed loan with terms between conventional and hard money.</w:t>
      </w:r>
    </w:p>
    <w:p>
      <w:pPr>
        <w:spacing w:before="120" w:after="20"/>
      </w:pPr>
      <w:r>
        <w:rPr>
          <w:b/>
          <w:color w:val="0A2240"/>
          <w:sz w:val="21"/>
        </w:rPr>
        <w:t>Sponsor Equity</w:t>
      </w:r>
    </w:p>
    <w:p>
      <w:pPr>
        <w:spacing w:after="80"/>
        <w:ind w:left="0"/>
      </w:pPr>
      <w:r>
        <w:rPr>
          <w:color w:val="334155"/>
          <w:sz w:val="20"/>
        </w:rPr>
        <w:t>The cash the borrower (sponsor) puts into a deal alongside private financing.</w:t>
      </w:r>
    </w:p>
    <w:p>
      <w:pPr>
        <w:spacing w:before="120" w:after="20"/>
      </w:pPr>
      <w:r>
        <w:rPr>
          <w:b/>
          <w:color w:val="0A2240"/>
          <w:sz w:val="21"/>
        </w:rPr>
        <w:t>Take-Out Loan</w:t>
      </w:r>
    </w:p>
    <w:p>
      <w:pPr>
        <w:spacing w:after="80"/>
        <w:ind w:left="0"/>
      </w:pPr>
      <w:r>
        <w:rPr>
          <w:color w:val="334155"/>
          <w:sz w:val="20"/>
        </w:rPr>
        <w:t>Permanent financing that replaces a short-term construction or bridge loan.</w:t>
      </w:r>
    </w:p>
    <w:p>
      <w:r>
        <w:rPr>
          <w:b/>
          <w:color w:val="B22234"/>
          <w:sz w:val="28"/>
        </w:rPr>
        <w:t>Property Management</w:t>
      </w:r>
    </w:p>
    <w:p>
      <w:pPr>
        <w:spacing w:before="120" w:after="20"/>
      </w:pPr>
      <w:r>
        <w:rPr>
          <w:b/>
          <w:color w:val="0A2240"/>
          <w:sz w:val="21"/>
        </w:rPr>
        <w:t>Capital Expenditure (CapEx)</w:t>
      </w:r>
    </w:p>
    <w:p>
      <w:pPr>
        <w:spacing w:after="80"/>
        <w:ind w:left="0"/>
      </w:pPr>
      <w:r>
        <w:rPr>
          <w:color w:val="334155"/>
          <w:sz w:val="20"/>
        </w:rPr>
        <w:t>Major investments in a property such as a new roof, HVAC, or renovation.</w:t>
      </w:r>
    </w:p>
    <w:p>
      <w:pPr>
        <w:spacing w:before="120" w:after="20"/>
      </w:pPr>
      <w:r>
        <w:rPr>
          <w:b/>
          <w:color w:val="0A2240"/>
          <w:sz w:val="21"/>
        </w:rPr>
        <w:t>Cure or Quit Notice</w:t>
      </w:r>
    </w:p>
    <w:p>
      <w:pPr>
        <w:spacing w:after="80"/>
        <w:ind w:left="0"/>
      </w:pPr>
      <w:r>
        <w:rPr>
          <w:color w:val="334155"/>
          <w:sz w:val="20"/>
        </w:rPr>
        <w:t>A notice giving a tenant time to remedy a lease violation or vacate.</w:t>
      </w:r>
    </w:p>
    <w:p>
      <w:pPr>
        <w:spacing w:before="120" w:after="20"/>
      </w:pPr>
      <w:r>
        <w:rPr>
          <w:b/>
          <w:color w:val="0A2240"/>
          <w:sz w:val="21"/>
        </w:rPr>
        <w:t>Eviction</w:t>
      </w:r>
    </w:p>
    <w:p>
      <w:pPr>
        <w:spacing w:after="80"/>
        <w:ind w:left="0"/>
      </w:pPr>
      <w:r>
        <w:rPr>
          <w:color w:val="334155"/>
          <w:sz w:val="20"/>
        </w:rPr>
        <w:t>The legal process by which a landlord removes a tenant who has violated the lease.</w:t>
      </w:r>
    </w:p>
    <w:p>
      <w:pPr>
        <w:spacing w:before="120" w:after="20"/>
      </w:pPr>
      <w:r>
        <w:rPr>
          <w:b/>
          <w:color w:val="0A2240"/>
          <w:sz w:val="21"/>
        </w:rPr>
        <w:t>Habitable Standards</w:t>
      </w:r>
    </w:p>
    <w:p>
      <w:pPr>
        <w:spacing w:after="80"/>
        <w:ind w:left="0"/>
      </w:pPr>
      <w:r>
        <w:rPr>
          <w:color w:val="334155"/>
          <w:sz w:val="20"/>
        </w:rPr>
        <w:t>Minimum legal requirements for a rental's safety and livability.</w:t>
      </w:r>
    </w:p>
    <w:p>
      <w:pPr>
        <w:spacing w:before="120" w:after="20"/>
      </w:pPr>
      <w:r>
        <w:rPr>
          <w:b/>
          <w:color w:val="0A2240"/>
          <w:sz w:val="21"/>
        </w:rPr>
        <w:t>Implied Warranty of Habitability</w:t>
      </w:r>
    </w:p>
    <w:p>
      <w:pPr>
        <w:spacing w:after="80"/>
        <w:ind w:left="0"/>
      </w:pPr>
      <w:r>
        <w:rPr>
          <w:color w:val="334155"/>
          <w:sz w:val="20"/>
        </w:rPr>
        <w:t>The legal doctrine that landlords must keep rentals safe and livable.</w:t>
      </w:r>
    </w:p>
    <w:p>
      <w:pPr>
        <w:spacing w:before="120" w:after="20"/>
      </w:pPr>
      <w:r>
        <w:rPr>
          <w:b/>
          <w:color w:val="0A2240"/>
          <w:sz w:val="21"/>
        </w:rPr>
        <w:t>Late Fee</w:t>
      </w:r>
    </w:p>
    <w:p>
      <w:pPr>
        <w:spacing w:after="80"/>
        <w:ind w:left="0"/>
      </w:pPr>
      <w:r>
        <w:rPr>
          <w:color w:val="334155"/>
          <w:sz w:val="20"/>
        </w:rPr>
        <w:t>A penalty charged when rent is paid after the contractual grace period.</w:t>
      </w:r>
    </w:p>
    <w:p>
      <w:pPr>
        <w:spacing w:before="120" w:after="20"/>
      </w:pPr>
      <w:r>
        <w:rPr>
          <w:b/>
          <w:color w:val="0A2240"/>
          <w:sz w:val="21"/>
        </w:rPr>
        <w:t>Lease Audit</w:t>
      </w:r>
    </w:p>
    <w:p>
      <w:pPr>
        <w:spacing w:after="80"/>
        <w:ind w:left="0"/>
      </w:pPr>
      <w:r>
        <w:rPr>
          <w:color w:val="334155"/>
          <w:sz w:val="20"/>
        </w:rPr>
        <w:t>A review of lease compliance, especially for CAM charges and pass-through expenses.</w:t>
      </w:r>
    </w:p>
    <w:p>
      <w:pPr>
        <w:spacing w:before="120" w:after="20"/>
      </w:pPr>
      <w:r>
        <w:rPr>
          <w:b/>
          <w:color w:val="0A2240"/>
          <w:sz w:val="21"/>
        </w:rPr>
        <w:t>Lease Renewal</w:t>
      </w:r>
    </w:p>
    <w:p>
      <w:pPr>
        <w:spacing w:after="80"/>
        <w:ind w:left="0"/>
      </w:pPr>
      <w:r>
        <w:rPr>
          <w:color w:val="334155"/>
          <w:sz w:val="20"/>
        </w:rPr>
        <w:t>An extension of an expiring lease, often with negotiated rent and term changes.</w:t>
      </w:r>
    </w:p>
    <w:p>
      <w:pPr>
        <w:spacing w:before="120" w:after="20"/>
      </w:pPr>
      <w:r>
        <w:rPr>
          <w:b/>
          <w:color w:val="0A2240"/>
          <w:sz w:val="21"/>
        </w:rPr>
        <w:t>Leasing Fee</w:t>
      </w:r>
    </w:p>
    <w:p>
      <w:pPr>
        <w:spacing w:after="80"/>
        <w:ind w:left="0"/>
      </w:pPr>
      <w:r>
        <w:rPr>
          <w:color w:val="334155"/>
          <w:sz w:val="20"/>
        </w:rPr>
        <w:t>A separate fee charged when a property manager places a new tenant.</w:t>
      </w:r>
    </w:p>
    <w:p>
      <w:pPr>
        <w:spacing w:before="120" w:after="20"/>
      </w:pPr>
      <w:r>
        <w:rPr>
          <w:b/>
          <w:color w:val="0A2240"/>
          <w:sz w:val="21"/>
        </w:rPr>
        <w:t>Maintenance Reserve</w:t>
      </w:r>
    </w:p>
    <w:p>
      <w:pPr>
        <w:spacing w:after="80"/>
        <w:ind w:left="0"/>
      </w:pPr>
      <w:r>
        <w:rPr>
          <w:color w:val="334155"/>
          <w:sz w:val="20"/>
        </w:rPr>
        <w:t>Funds set aside for routine repairs and unexpected expenses.</w:t>
      </w:r>
    </w:p>
    <w:p>
      <w:pPr>
        <w:spacing w:before="120" w:after="20"/>
      </w:pPr>
      <w:r>
        <w:rPr>
          <w:b/>
          <w:color w:val="0A2240"/>
          <w:sz w:val="21"/>
        </w:rPr>
        <w:t>Make-Ready</w:t>
      </w:r>
    </w:p>
    <w:p>
      <w:pPr>
        <w:spacing w:after="80"/>
        <w:ind w:left="0"/>
      </w:pPr>
      <w:r>
        <w:rPr>
          <w:color w:val="334155"/>
          <w:sz w:val="20"/>
        </w:rPr>
        <w:t>The process of preparing a vacant unit for the next tenant.</w:t>
      </w:r>
    </w:p>
    <w:p>
      <w:pPr>
        <w:spacing w:before="120" w:after="20"/>
      </w:pPr>
      <w:r>
        <w:rPr>
          <w:b/>
          <w:color w:val="0A2240"/>
          <w:sz w:val="21"/>
        </w:rPr>
        <w:t>Management Fee</w:t>
      </w:r>
    </w:p>
    <w:p>
      <w:pPr>
        <w:spacing w:after="80"/>
        <w:ind w:left="0"/>
      </w:pPr>
      <w:r>
        <w:rPr>
          <w:color w:val="334155"/>
          <w:sz w:val="20"/>
        </w:rPr>
        <w:t>The percentage of monthly rent a property manager charges, typically 6-12%.</w:t>
      </w:r>
    </w:p>
    <w:p>
      <w:pPr>
        <w:spacing w:before="120" w:after="20"/>
      </w:pPr>
      <w:r>
        <w:rPr>
          <w:b/>
          <w:color w:val="0A2240"/>
          <w:sz w:val="21"/>
        </w:rPr>
        <w:t>Move-In/Move-Out Inspection</w:t>
      </w:r>
    </w:p>
    <w:p>
      <w:pPr>
        <w:spacing w:after="80"/>
        <w:ind w:left="0"/>
      </w:pPr>
      <w:r>
        <w:rPr>
          <w:color w:val="334155"/>
          <w:sz w:val="20"/>
        </w:rPr>
        <w:t>A documented walkthrough that records property condition at the start and end of tenancy.</w:t>
      </w:r>
    </w:p>
    <w:p>
      <w:pPr>
        <w:spacing w:before="120" w:after="20"/>
      </w:pPr>
      <w:r>
        <w:rPr>
          <w:b/>
          <w:color w:val="0A2240"/>
          <w:sz w:val="21"/>
        </w:rPr>
        <w:t>Notice to Vacate</w:t>
      </w:r>
    </w:p>
    <w:p>
      <w:pPr>
        <w:spacing w:after="80"/>
        <w:ind w:left="0"/>
      </w:pPr>
      <w:r>
        <w:rPr>
          <w:color w:val="334155"/>
          <w:sz w:val="20"/>
        </w:rPr>
        <w:t>A formal notice from a tenant or landlord ending the rental agreement.</w:t>
      </w:r>
    </w:p>
    <w:p>
      <w:pPr>
        <w:spacing w:before="120" w:after="20"/>
      </w:pPr>
      <w:r>
        <w:rPr>
          <w:b/>
          <w:color w:val="0A2240"/>
          <w:sz w:val="21"/>
        </w:rPr>
        <w:t>Owner Statement</w:t>
      </w:r>
    </w:p>
    <w:p>
      <w:pPr>
        <w:spacing w:after="80"/>
        <w:ind w:left="0"/>
      </w:pPr>
      <w:r>
        <w:rPr>
          <w:color w:val="334155"/>
          <w:sz w:val="20"/>
        </w:rPr>
        <w:t>A monthly report from a property manager to the owner showing income, expenses, and cash flow.</w:t>
      </w:r>
    </w:p>
    <w:p>
      <w:pPr>
        <w:spacing w:before="120" w:after="20"/>
      </w:pPr>
      <w:r>
        <w:rPr>
          <w:b/>
          <w:color w:val="0A2240"/>
          <w:sz w:val="21"/>
        </w:rPr>
        <w:t>Property Manager</w:t>
      </w:r>
    </w:p>
    <w:p>
      <w:pPr>
        <w:spacing w:after="80"/>
        <w:ind w:left="0"/>
      </w:pPr>
      <w:r>
        <w:rPr>
          <w:color w:val="334155"/>
          <w:sz w:val="20"/>
        </w:rPr>
        <w:t>A professional or company responsible for the day-to-day operation of rental property.</w:t>
      </w:r>
    </w:p>
    <w:p>
      <w:pPr>
        <w:spacing w:before="120" w:after="20"/>
      </w:pPr>
      <w:r>
        <w:rPr>
          <w:b/>
          <w:color w:val="0A2240"/>
          <w:sz w:val="21"/>
        </w:rPr>
        <w:t>Rent Collection</w:t>
      </w:r>
    </w:p>
    <w:p>
      <w:pPr>
        <w:spacing w:after="80"/>
        <w:ind w:left="0"/>
      </w:pPr>
      <w:r>
        <w:rPr>
          <w:color w:val="334155"/>
          <w:sz w:val="20"/>
        </w:rPr>
        <w:t>Receiving and recording rent payments, often through online portals.</w:t>
      </w:r>
    </w:p>
    <w:p>
      <w:pPr>
        <w:spacing w:before="120" w:after="20"/>
      </w:pPr>
      <w:r>
        <w:rPr>
          <w:b/>
          <w:color w:val="0A2240"/>
          <w:sz w:val="21"/>
        </w:rPr>
        <w:t>Security Deposit</w:t>
      </w:r>
    </w:p>
    <w:p>
      <w:pPr>
        <w:spacing w:after="80"/>
        <w:ind w:left="0"/>
      </w:pPr>
      <w:r>
        <w:rPr>
          <w:color w:val="334155"/>
          <w:sz w:val="20"/>
        </w:rPr>
        <w:t>Funds held by a landlord to cover damages or unpaid rent at lease end.</w:t>
      </w:r>
    </w:p>
    <w:p>
      <w:pPr>
        <w:spacing w:before="120" w:after="20"/>
      </w:pPr>
      <w:r>
        <w:rPr>
          <w:b/>
          <w:color w:val="0A2240"/>
          <w:sz w:val="21"/>
        </w:rPr>
        <w:t>Tenant Portal</w:t>
      </w:r>
    </w:p>
    <w:p>
      <w:pPr>
        <w:spacing w:after="80"/>
        <w:ind w:left="0"/>
      </w:pPr>
      <w:r>
        <w:rPr>
          <w:color w:val="334155"/>
          <w:sz w:val="20"/>
        </w:rPr>
        <w:t>An online platform where tenants pay rent, submit maintenance requests, and communicate.</w:t>
      </w:r>
    </w:p>
    <w:p>
      <w:pPr>
        <w:spacing w:before="120" w:after="20"/>
      </w:pPr>
      <w:r>
        <w:rPr>
          <w:b/>
          <w:color w:val="0A2240"/>
          <w:sz w:val="21"/>
        </w:rPr>
        <w:t>Tenant Screening</w:t>
      </w:r>
    </w:p>
    <w:p>
      <w:pPr>
        <w:spacing w:after="80"/>
        <w:ind w:left="0"/>
      </w:pPr>
      <w:r>
        <w:rPr>
          <w:color w:val="334155"/>
          <w:sz w:val="20"/>
        </w:rPr>
        <w:t>Background, credit, and rental history checks performed on prospective tenants.</w:t>
      </w:r>
    </w:p>
    <w:p>
      <w:pPr>
        <w:spacing w:before="120" w:after="20"/>
      </w:pPr>
      <w:r>
        <w:rPr>
          <w:b/>
          <w:color w:val="0A2240"/>
          <w:sz w:val="21"/>
        </w:rPr>
        <w:t>Trust Account</w:t>
      </w:r>
    </w:p>
    <w:p>
      <w:pPr>
        <w:spacing w:after="80"/>
        <w:ind w:left="0"/>
      </w:pPr>
      <w:r>
        <w:rPr>
          <w:color w:val="334155"/>
          <w:sz w:val="20"/>
        </w:rPr>
        <w:t>A separate bank account holding tenant security deposits, regulated by state law.</w:t>
      </w:r>
    </w:p>
    <w:p>
      <w:pPr>
        <w:spacing w:before="120" w:after="20"/>
      </w:pPr>
      <w:r>
        <w:rPr>
          <w:b/>
          <w:color w:val="0A2240"/>
          <w:sz w:val="21"/>
        </w:rPr>
        <w:t>Turnover Cost</w:t>
      </w:r>
    </w:p>
    <w:p>
      <w:pPr>
        <w:spacing w:after="80"/>
        <w:ind w:left="0"/>
      </w:pPr>
      <w:r>
        <w:rPr>
          <w:color w:val="334155"/>
          <w:sz w:val="20"/>
        </w:rPr>
        <w:t>Total cost of preparing a unit between tenants — cleaning, paint, minor repairs.</w:t>
      </w:r>
    </w:p>
    <w:p>
      <w:r>
        <w:rPr>
          <w:b/>
          <w:color w:val="B22234"/>
          <w:sz w:val="28"/>
        </w:rPr>
        <w:t>Property Types</w:t>
      </w:r>
    </w:p>
    <w:p>
      <w:pPr>
        <w:spacing w:before="120" w:after="20"/>
      </w:pPr>
      <w:r>
        <w:rPr>
          <w:b/>
          <w:color w:val="0A2240"/>
          <w:sz w:val="21"/>
        </w:rPr>
        <w:t>ADU</w:t>
      </w:r>
    </w:p>
    <w:p>
      <w:pPr>
        <w:spacing w:after="80"/>
        <w:ind w:left="0"/>
      </w:pPr>
      <w:r>
        <w:rPr>
          <w:color w:val="334155"/>
          <w:sz w:val="20"/>
        </w:rPr>
        <w:t>Accessory Dwelling Unit — a secondary housing unit on a single-family lot (in-law suite, casita, garage apartment).</w:t>
      </w:r>
    </w:p>
    <w:p>
      <w:pPr>
        <w:spacing w:before="120" w:after="20"/>
      </w:pPr>
      <w:r>
        <w:rPr>
          <w:b/>
          <w:color w:val="0A2240"/>
          <w:sz w:val="21"/>
        </w:rPr>
        <w:t>Assisted Living</w:t>
      </w:r>
    </w:p>
    <w:p>
      <w:pPr>
        <w:spacing w:after="80"/>
        <w:ind w:left="0"/>
      </w:pPr>
      <w:r>
        <w:rPr>
          <w:color w:val="334155"/>
          <w:sz w:val="20"/>
        </w:rPr>
        <w:t>Senior housing offering personal-care help with daily living activities.</w:t>
      </w:r>
    </w:p>
    <w:p>
      <w:pPr>
        <w:spacing w:before="120" w:after="20"/>
      </w:pPr>
      <w:r>
        <w:rPr>
          <w:b/>
          <w:color w:val="0A2240"/>
          <w:sz w:val="21"/>
        </w:rPr>
        <w:t>Big-Box Retail</w:t>
      </w:r>
    </w:p>
    <w:p>
      <w:pPr>
        <w:spacing w:after="80"/>
        <w:ind w:left="0"/>
      </w:pPr>
      <w:r>
        <w:rPr>
          <w:color w:val="334155"/>
          <w:sz w:val="20"/>
        </w:rPr>
        <w:t>Large freestanding retail stores typically 50,000+ square feet.</w:t>
      </w:r>
    </w:p>
    <w:p>
      <w:pPr>
        <w:spacing w:before="120" w:after="20"/>
      </w:pPr>
      <w:r>
        <w:rPr>
          <w:b/>
          <w:color w:val="0A2240"/>
          <w:sz w:val="21"/>
        </w:rPr>
        <w:t>Brownstone</w:t>
      </w:r>
    </w:p>
    <w:p>
      <w:pPr>
        <w:spacing w:after="80"/>
        <w:ind w:left="0"/>
      </w:pPr>
      <w:r>
        <w:rPr>
          <w:color w:val="334155"/>
          <w:sz w:val="20"/>
        </w:rPr>
        <w:t>A row house, typically 3-5 stories, faced with reddish-brown sandstone — common in NYC and Boston.</w:t>
      </w:r>
    </w:p>
    <w:p>
      <w:pPr>
        <w:spacing w:before="120" w:after="20"/>
      </w:pPr>
      <w:r>
        <w:rPr>
          <w:b/>
          <w:color w:val="0A2240"/>
          <w:sz w:val="21"/>
        </w:rPr>
        <w:t>Build-to-Rent (BTR)</w:t>
      </w:r>
    </w:p>
    <w:p>
      <w:pPr>
        <w:spacing w:after="80"/>
        <w:ind w:left="0"/>
      </w:pPr>
      <w:r>
        <w:rPr>
          <w:color w:val="334155"/>
          <w:sz w:val="20"/>
        </w:rPr>
        <w:t>Single-family rental communities built specifically for long-term tenants.</w:t>
      </w:r>
    </w:p>
    <w:p>
      <w:pPr>
        <w:spacing w:before="120" w:after="20"/>
      </w:pPr>
      <w:r>
        <w:rPr>
          <w:b/>
          <w:color w:val="0A2240"/>
          <w:sz w:val="21"/>
        </w:rPr>
        <w:t>Bulk Warehouse</w:t>
      </w:r>
    </w:p>
    <w:p>
      <w:pPr>
        <w:spacing w:after="80"/>
        <w:ind w:left="0"/>
      </w:pPr>
      <w:r>
        <w:rPr>
          <w:color w:val="334155"/>
          <w:sz w:val="20"/>
        </w:rPr>
        <w:t>Industrial property with high ceilings and large floor plates for storage and distribution.</w:t>
      </w:r>
    </w:p>
    <w:p>
      <w:pPr>
        <w:spacing w:before="120" w:after="20"/>
      </w:pPr>
      <w:r>
        <w:rPr>
          <w:b/>
          <w:color w:val="0A2240"/>
          <w:sz w:val="21"/>
        </w:rPr>
        <w:t>Bungalow</w:t>
      </w:r>
    </w:p>
    <w:p>
      <w:pPr>
        <w:spacing w:after="80"/>
        <w:ind w:left="0"/>
      </w:pPr>
      <w:r>
        <w:rPr>
          <w:color w:val="334155"/>
          <w:sz w:val="20"/>
        </w:rPr>
        <w:t>A small one or one-and-a-half-story house with a porch.</w:t>
      </w:r>
    </w:p>
    <w:p>
      <w:pPr>
        <w:spacing w:before="120" w:after="20"/>
      </w:pPr>
      <w:r>
        <w:rPr>
          <w:b/>
          <w:color w:val="0A2240"/>
          <w:sz w:val="21"/>
        </w:rPr>
        <w:t>Cape Cod Style</w:t>
      </w:r>
    </w:p>
    <w:p>
      <w:pPr>
        <w:spacing w:after="80"/>
        <w:ind w:left="0"/>
      </w:pPr>
      <w:r>
        <w:rPr>
          <w:color w:val="334155"/>
          <w:sz w:val="20"/>
        </w:rPr>
        <w:t>A small, symmetrical house style with steep roof and central chimney, popular in New England.</w:t>
      </w:r>
    </w:p>
    <w:p>
      <w:pPr>
        <w:spacing w:before="120" w:after="20"/>
      </w:pPr>
      <w:r>
        <w:rPr>
          <w:b/>
          <w:color w:val="0A2240"/>
          <w:sz w:val="21"/>
        </w:rPr>
        <w:t>Casita</w:t>
      </w:r>
    </w:p>
    <w:p>
      <w:pPr>
        <w:spacing w:after="80"/>
        <w:ind w:left="0"/>
      </w:pPr>
      <w:r>
        <w:rPr>
          <w:color w:val="334155"/>
          <w:sz w:val="20"/>
        </w:rPr>
        <w:t>A small detached guest house or accessory dwelling, common in southwestern architecture.</w:t>
      </w:r>
    </w:p>
    <w:p>
      <w:pPr>
        <w:spacing w:before="120" w:after="20"/>
      </w:pPr>
      <w:r>
        <w:rPr>
          <w:b/>
          <w:color w:val="0A2240"/>
          <w:sz w:val="21"/>
        </w:rPr>
        <w:t>Class A Office</w:t>
      </w:r>
    </w:p>
    <w:p>
      <w:pPr>
        <w:spacing w:after="80"/>
        <w:ind w:left="0"/>
      </w:pPr>
      <w:r>
        <w:rPr>
          <w:color w:val="334155"/>
          <w:sz w:val="20"/>
        </w:rPr>
        <w:t>The highest quality office buildings — newest, best locations, top amenities.</w:t>
      </w:r>
    </w:p>
    <w:p>
      <w:pPr>
        <w:spacing w:before="120" w:after="20"/>
      </w:pPr>
      <w:r>
        <w:rPr>
          <w:b/>
          <w:color w:val="0A2240"/>
          <w:sz w:val="21"/>
        </w:rPr>
        <w:t>Class B Office</w:t>
      </w:r>
    </w:p>
    <w:p>
      <w:pPr>
        <w:spacing w:after="80"/>
        <w:ind w:left="0"/>
      </w:pPr>
      <w:r>
        <w:rPr>
          <w:color w:val="334155"/>
          <w:sz w:val="20"/>
        </w:rPr>
        <w:t>Mid-tier office buildings — older but well-maintained with good locations.</w:t>
      </w:r>
    </w:p>
    <w:p>
      <w:pPr>
        <w:spacing w:before="120" w:after="20"/>
      </w:pPr>
      <w:r>
        <w:rPr>
          <w:b/>
          <w:color w:val="0A2240"/>
          <w:sz w:val="21"/>
        </w:rPr>
        <w:t>Class C Office</w:t>
      </w:r>
    </w:p>
    <w:p>
      <w:pPr>
        <w:spacing w:after="80"/>
        <w:ind w:left="0"/>
      </w:pPr>
      <w:r>
        <w:rPr>
          <w:color w:val="334155"/>
          <w:sz w:val="20"/>
        </w:rPr>
        <w:t>Older buildings in less desirable locations, typically with lower rents.</w:t>
      </w:r>
    </w:p>
    <w:p>
      <w:pPr>
        <w:spacing w:before="120" w:after="20"/>
      </w:pPr>
      <w:r>
        <w:rPr>
          <w:b/>
          <w:color w:val="0A2240"/>
          <w:sz w:val="21"/>
        </w:rPr>
        <w:t>Co-Living</w:t>
      </w:r>
    </w:p>
    <w:p>
      <w:pPr>
        <w:spacing w:after="80"/>
        <w:ind w:left="0"/>
      </w:pPr>
      <w:r>
        <w:rPr>
          <w:color w:val="334155"/>
          <w:sz w:val="20"/>
        </w:rPr>
        <w:t>A housing concept where residents have private bedrooms and share common areas, common in urban markets.</w:t>
      </w:r>
    </w:p>
    <w:p>
      <w:pPr>
        <w:spacing w:before="120" w:after="20"/>
      </w:pPr>
      <w:r>
        <w:rPr>
          <w:b/>
          <w:color w:val="0A2240"/>
          <w:sz w:val="21"/>
        </w:rPr>
        <w:t>Colonial Style</w:t>
      </w:r>
    </w:p>
    <w:p>
      <w:pPr>
        <w:spacing w:after="80"/>
        <w:ind w:left="0"/>
      </w:pPr>
      <w:r>
        <w:rPr>
          <w:color w:val="334155"/>
          <w:sz w:val="20"/>
        </w:rPr>
        <w:t>A traditional symmetrical house style with multi-story formal layout.</w:t>
      </w:r>
    </w:p>
    <w:p>
      <w:pPr>
        <w:spacing w:before="120" w:after="20"/>
      </w:pPr>
      <w:r>
        <w:rPr>
          <w:b/>
          <w:color w:val="0A2240"/>
          <w:sz w:val="21"/>
        </w:rPr>
        <w:t>Condominium</w:t>
      </w:r>
    </w:p>
    <w:p>
      <w:pPr>
        <w:spacing w:after="80"/>
        <w:ind w:left="0"/>
      </w:pPr>
      <w:r>
        <w:rPr>
          <w:color w:val="334155"/>
          <w:sz w:val="20"/>
        </w:rPr>
        <w:t>An individually owned unit within a larger building, with shared ownership of common areas.</w:t>
      </w:r>
    </w:p>
    <w:p>
      <w:pPr>
        <w:spacing w:before="120" w:after="20"/>
      </w:pPr>
      <w:r>
        <w:rPr>
          <w:b/>
          <w:color w:val="0A2240"/>
          <w:sz w:val="21"/>
        </w:rPr>
        <w:t>Cooperative (Co-op)</w:t>
      </w:r>
    </w:p>
    <w:p>
      <w:pPr>
        <w:spacing w:after="80"/>
        <w:ind w:left="0"/>
      </w:pPr>
      <w:r>
        <w:rPr>
          <w:color w:val="334155"/>
          <w:sz w:val="20"/>
        </w:rPr>
        <w:t>Housing where residents own shares in a corporation that owns the building, granting them occupancy rights.</w:t>
      </w:r>
    </w:p>
    <w:p>
      <w:pPr>
        <w:spacing w:before="120" w:after="20"/>
      </w:pPr>
      <w:r>
        <w:rPr>
          <w:b/>
          <w:color w:val="0A2240"/>
          <w:sz w:val="21"/>
        </w:rPr>
        <w:t>Craftsman Style</w:t>
      </w:r>
    </w:p>
    <w:p>
      <w:pPr>
        <w:spacing w:after="80"/>
        <w:ind w:left="0"/>
      </w:pPr>
      <w:r>
        <w:rPr>
          <w:color w:val="334155"/>
          <w:sz w:val="20"/>
        </w:rPr>
        <w:t>A home style featuring handcrafted woodwork, low-pitched roofs, and natural materials.</w:t>
      </w:r>
    </w:p>
    <w:p>
      <w:pPr>
        <w:spacing w:before="120" w:after="20"/>
      </w:pPr>
      <w:r>
        <w:rPr>
          <w:b/>
          <w:color w:val="0A2240"/>
          <w:sz w:val="21"/>
        </w:rPr>
        <w:t>Duplex</w:t>
      </w:r>
    </w:p>
    <w:p>
      <w:pPr>
        <w:spacing w:after="80"/>
        <w:ind w:left="0"/>
      </w:pPr>
      <w:r>
        <w:rPr>
          <w:color w:val="334155"/>
          <w:sz w:val="20"/>
        </w:rPr>
        <w:t>A residential building containing two separate units, often with separate entrances.</w:t>
      </w:r>
    </w:p>
    <w:p>
      <w:pPr>
        <w:spacing w:before="120" w:after="20"/>
      </w:pPr>
      <w:r>
        <w:rPr>
          <w:b/>
          <w:color w:val="0A2240"/>
          <w:sz w:val="21"/>
        </w:rPr>
        <w:t>Flex Space</w:t>
      </w:r>
    </w:p>
    <w:p>
      <w:pPr>
        <w:spacing w:after="80"/>
        <w:ind w:left="0"/>
      </w:pPr>
      <w:r>
        <w:rPr>
          <w:color w:val="334155"/>
          <w:sz w:val="20"/>
        </w:rPr>
        <w:t>Industrial property combining office, warehouse, and light manufacturing in one unit.</w:t>
      </w:r>
    </w:p>
    <w:p>
      <w:pPr>
        <w:spacing w:before="120" w:after="20"/>
      </w:pPr>
      <w:r>
        <w:rPr>
          <w:b/>
          <w:color w:val="0A2240"/>
          <w:sz w:val="21"/>
        </w:rPr>
        <w:t>Fourplex</w:t>
      </w:r>
    </w:p>
    <w:p>
      <w:pPr>
        <w:spacing w:after="80"/>
        <w:ind w:left="0"/>
      </w:pPr>
      <w:r>
        <w:rPr>
          <w:color w:val="334155"/>
          <w:sz w:val="20"/>
        </w:rPr>
        <w:t>A residential building with four separate dwelling units — still considered residential for financing.</w:t>
      </w:r>
    </w:p>
    <w:p>
      <w:pPr>
        <w:spacing w:before="120" w:after="20"/>
      </w:pPr>
      <w:r>
        <w:rPr>
          <w:b/>
          <w:color w:val="0A2240"/>
          <w:sz w:val="21"/>
        </w:rPr>
        <w:t>Garden Apartment</w:t>
      </w:r>
    </w:p>
    <w:p>
      <w:pPr>
        <w:spacing w:after="80"/>
        <w:ind w:left="0"/>
      </w:pPr>
      <w:r>
        <w:rPr>
          <w:color w:val="334155"/>
          <w:sz w:val="20"/>
        </w:rPr>
        <w:t>A low-rise multifamily building, typically 2-3 stories surrounded by landscaped grounds.</w:t>
      </w:r>
    </w:p>
    <w:p>
      <w:pPr>
        <w:spacing w:before="120" w:after="20"/>
      </w:pPr>
      <w:r>
        <w:rPr>
          <w:b/>
          <w:color w:val="0A2240"/>
          <w:sz w:val="21"/>
        </w:rPr>
        <w:t>Garden-Style Office</w:t>
      </w:r>
    </w:p>
    <w:p>
      <w:pPr>
        <w:spacing w:after="80"/>
        <w:ind w:left="0"/>
      </w:pPr>
      <w:r>
        <w:rPr>
          <w:color w:val="334155"/>
          <w:sz w:val="20"/>
        </w:rPr>
        <w:t>Low-rise suburban office buildings, typically with surface parking.</w:t>
      </w:r>
    </w:p>
    <w:p>
      <w:pPr>
        <w:spacing w:before="120" w:after="20"/>
      </w:pPr>
      <w:r>
        <w:rPr>
          <w:b/>
          <w:color w:val="0A2240"/>
          <w:sz w:val="21"/>
        </w:rPr>
        <w:t>High-Rise</w:t>
      </w:r>
    </w:p>
    <w:p>
      <w:pPr>
        <w:spacing w:after="80"/>
        <w:ind w:left="0"/>
      </w:pPr>
      <w:r>
        <w:rPr>
          <w:color w:val="334155"/>
          <w:sz w:val="20"/>
        </w:rPr>
        <w:t>A building of 10+ stories, usually with an elevator and structured parking.</w:t>
      </w:r>
    </w:p>
    <w:p>
      <w:pPr>
        <w:spacing w:before="120" w:after="20"/>
      </w:pPr>
      <w:r>
        <w:rPr>
          <w:b/>
          <w:color w:val="0A2240"/>
          <w:sz w:val="21"/>
        </w:rPr>
        <w:t>Hospitality Property</w:t>
      </w:r>
    </w:p>
    <w:p>
      <w:pPr>
        <w:spacing w:after="80"/>
        <w:ind w:left="0"/>
      </w:pPr>
      <w:r>
        <w:rPr>
          <w:color w:val="334155"/>
          <w:sz w:val="20"/>
        </w:rPr>
        <w:t>Hotels, motels, and short-term lodging facilities operated for transient guests.</w:t>
      </w:r>
    </w:p>
    <w:p>
      <w:pPr>
        <w:spacing w:before="120" w:after="20"/>
      </w:pPr>
      <w:r>
        <w:rPr>
          <w:b/>
          <w:color w:val="0A2240"/>
          <w:sz w:val="21"/>
        </w:rPr>
        <w:t>Independent Living</w:t>
      </w:r>
    </w:p>
    <w:p>
      <w:pPr>
        <w:spacing w:after="80"/>
        <w:ind w:left="0"/>
      </w:pPr>
      <w:r>
        <w:rPr>
          <w:color w:val="334155"/>
          <w:sz w:val="20"/>
        </w:rPr>
        <w:t>Senior housing for active retirees needing little or no medical assistance.</w:t>
      </w:r>
    </w:p>
    <w:p>
      <w:pPr>
        <w:spacing w:before="120" w:after="20"/>
      </w:pPr>
      <w:r>
        <w:rPr>
          <w:b/>
          <w:color w:val="0A2240"/>
          <w:sz w:val="21"/>
        </w:rPr>
        <w:t>Industrial Property</w:t>
      </w:r>
    </w:p>
    <w:p>
      <w:pPr>
        <w:spacing w:after="80"/>
        <w:ind w:left="0"/>
      </w:pPr>
      <w:r>
        <w:rPr>
          <w:color w:val="334155"/>
          <w:sz w:val="20"/>
        </w:rPr>
        <w:t>Real estate used for manufacturing, warehousing, distribution, or research.</w:t>
      </w:r>
    </w:p>
    <w:p>
      <w:pPr>
        <w:spacing w:before="120" w:after="20"/>
      </w:pPr>
      <w:r>
        <w:rPr>
          <w:b/>
          <w:color w:val="0A2240"/>
          <w:sz w:val="21"/>
        </w:rPr>
        <w:t>Land</w:t>
      </w:r>
    </w:p>
    <w:p>
      <w:pPr>
        <w:spacing w:after="80"/>
        <w:ind w:left="0"/>
      </w:pPr>
      <w:r>
        <w:rPr>
          <w:color w:val="334155"/>
          <w:sz w:val="20"/>
        </w:rPr>
        <w:t>Raw or undeveloped real property without significant improvements.</w:t>
      </w:r>
    </w:p>
    <w:p>
      <w:pPr>
        <w:spacing w:before="120" w:after="20"/>
      </w:pPr>
      <w:r>
        <w:rPr>
          <w:b/>
          <w:color w:val="0A2240"/>
          <w:sz w:val="21"/>
        </w:rPr>
        <w:t>Last-Mile Industrial</w:t>
      </w:r>
    </w:p>
    <w:p>
      <w:pPr>
        <w:spacing w:after="80"/>
        <w:ind w:left="0"/>
      </w:pPr>
      <w:r>
        <w:rPr>
          <w:color w:val="334155"/>
          <w:sz w:val="20"/>
        </w:rPr>
        <w:t>Smaller distribution properties near urban areas serving same-day or next-day delivery.</w:t>
      </w:r>
    </w:p>
    <w:p>
      <w:pPr>
        <w:spacing w:before="120" w:after="20"/>
      </w:pPr>
      <w:r>
        <w:rPr>
          <w:b/>
          <w:color w:val="0A2240"/>
          <w:sz w:val="21"/>
        </w:rPr>
        <w:t>Lifestyle Center</w:t>
      </w:r>
    </w:p>
    <w:p>
      <w:pPr>
        <w:spacing w:after="80"/>
        <w:ind w:left="0"/>
      </w:pPr>
      <w:r>
        <w:rPr>
          <w:color w:val="334155"/>
          <w:sz w:val="20"/>
        </w:rPr>
        <w:t>An open-air retail center with upscale shops, dining, and pedestrian features.</w:t>
      </w:r>
    </w:p>
    <w:p>
      <w:pPr>
        <w:spacing w:before="120" w:after="20"/>
      </w:pPr>
      <w:r>
        <w:rPr>
          <w:b/>
          <w:color w:val="0A2240"/>
          <w:sz w:val="21"/>
        </w:rPr>
        <w:t>Loft</w:t>
      </w:r>
    </w:p>
    <w:p>
      <w:pPr>
        <w:spacing w:after="80"/>
        <w:ind w:left="0"/>
      </w:pPr>
      <w:r>
        <w:rPr>
          <w:color w:val="334155"/>
          <w:sz w:val="20"/>
        </w:rPr>
        <w:t>An open-floor-plan residential conversion, often from former industrial spaces.</w:t>
      </w:r>
    </w:p>
    <w:p>
      <w:pPr>
        <w:spacing w:before="120" w:after="20"/>
      </w:pPr>
      <w:r>
        <w:rPr>
          <w:b/>
          <w:color w:val="0A2240"/>
          <w:sz w:val="21"/>
        </w:rPr>
        <w:t>Manufactured Home</w:t>
      </w:r>
    </w:p>
    <w:p>
      <w:pPr>
        <w:spacing w:after="80"/>
        <w:ind w:left="0"/>
      </w:pPr>
      <w:r>
        <w:rPr>
          <w:color w:val="334155"/>
          <w:sz w:val="20"/>
        </w:rPr>
        <w:t>A factory-built home that meets federal HUD code, transported to a site after construction.</w:t>
      </w:r>
    </w:p>
    <w:p>
      <w:pPr>
        <w:spacing w:before="120" w:after="20"/>
      </w:pPr>
      <w:r>
        <w:rPr>
          <w:b/>
          <w:color w:val="0A2240"/>
          <w:sz w:val="21"/>
        </w:rPr>
        <w:t>Manufactured Home Community</w:t>
      </w:r>
    </w:p>
    <w:p>
      <w:pPr>
        <w:spacing w:after="80"/>
        <w:ind w:left="0"/>
      </w:pPr>
      <w:r>
        <w:rPr>
          <w:color w:val="334155"/>
          <w:sz w:val="20"/>
        </w:rPr>
        <w:t>A planned development of manufactured homes, often with rented lots.</w:t>
      </w:r>
    </w:p>
    <w:p>
      <w:pPr>
        <w:spacing w:before="120" w:after="20"/>
      </w:pPr>
      <w:r>
        <w:rPr>
          <w:b/>
          <w:color w:val="0A2240"/>
          <w:sz w:val="21"/>
        </w:rPr>
        <w:t>Mediterranean Style</w:t>
      </w:r>
    </w:p>
    <w:p>
      <w:pPr>
        <w:spacing w:after="80"/>
        <w:ind w:left="0"/>
      </w:pPr>
      <w:r>
        <w:rPr>
          <w:color w:val="334155"/>
          <w:sz w:val="20"/>
        </w:rPr>
        <w:t>A home style with tile roofs, stucco walls, and arched openings.</w:t>
      </w:r>
    </w:p>
    <w:p>
      <w:pPr>
        <w:spacing w:before="120" w:after="20"/>
      </w:pPr>
      <w:r>
        <w:rPr>
          <w:b/>
          <w:color w:val="0A2240"/>
          <w:sz w:val="21"/>
        </w:rPr>
        <w:t>Memory Care</w:t>
      </w:r>
    </w:p>
    <w:p>
      <w:pPr>
        <w:spacing w:after="80"/>
        <w:ind w:left="0"/>
      </w:pPr>
      <w:r>
        <w:rPr>
          <w:color w:val="334155"/>
          <w:sz w:val="20"/>
        </w:rPr>
        <w:t>Specialized senior facilities serving residents with Alzheimer's or dementia.</w:t>
      </w:r>
    </w:p>
    <w:p>
      <w:pPr>
        <w:spacing w:before="120" w:after="20"/>
      </w:pPr>
      <w:r>
        <w:rPr>
          <w:b/>
          <w:color w:val="0A2240"/>
          <w:sz w:val="21"/>
        </w:rPr>
        <w:t>Mid-Rise</w:t>
      </w:r>
    </w:p>
    <w:p>
      <w:pPr>
        <w:spacing w:after="80"/>
        <w:ind w:left="0"/>
      </w:pPr>
      <w:r>
        <w:rPr>
          <w:color w:val="334155"/>
          <w:sz w:val="20"/>
        </w:rPr>
        <w:t>A multistory building between 4 and 9 stories.</w:t>
      </w:r>
    </w:p>
    <w:p>
      <w:pPr>
        <w:spacing w:before="120" w:after="20"/>
      </w:pPr>
      <w:r>
        <w:rPr>
          <w:b/>
          <w:color w:val="0A2240"/>
          <w:sz w:val="21"/>
        </w:rPr>
        <w:t>Mixed-Use Property</w:t>
      </w:r>
    </w:p>
    <w:p>
      <w:pPr>
        <w:spacing w:after="80"/>
        <w:ind w:left="0"/>
      </w:pPr>
      <w:r>
        <w:rPr>
          <w:color w:val="334155"/>
          <w:sz w:val="20"/>
        </w:rPr>
        <w:t>Real estate containing both residential and commercial spaces.</w:t>
      </w:r>
    </w:p>
    <w:p>
      <w:pPr>
        <w:spacing w:before="120" w:after="20"/>
      </w:pPr>
      <w:r>
        <w:rPr>
          <w:b/>
          <w:color w:val="0A2240"/>
          <w:sz w:val="21"/>
        </w:rPr>
        <w:t>Mobile Home</w:t>
      </w:r>
    </w:p>
    <w:p>
      <w:pPr>
        <w:spacing w:after="80"/>
        <w:ind w:left="0"/>
      </w:pPr>
      <w:r>
        <w:rPr>
          <w:color w:val="334155"/>
          <w:sz w:val="20"/>
        </w:rPr>
        <w:t>A factory-built dwelling built before HUD code (1976), often classified as personal property.</w:t>
      </w:r>
    </w:p>
    <w:p>
      <w:pPr>
        <w:spacing w:before="120" w:after="20"/>
      </w:pPr>
      <w:r>
        <w:rPr>
          <w:b/>
          <w:color w:val="0A2240"/>
          <w:sz w:val="21"/>
        </w:rPr>
        <w:t>Modular Home</w:t>
      </w:r>
    </w:p>
    <w:p>
      <w:pPr>
        <w:spacing w:after="80"/>
        <w:ind w:left="0"/>
      </w:pPr>
      <w:r>
        <w:rPr>
          <w:color w:val="334155"/>
          <w:sz w:val="20"/>
        </w:rPr>
        <w:t>A home built in sections at a factory then assembled on a permanent foundation on-site.</w:t>
      </w:r>
    </w:p>
    <w:p>
      <w:pPr>
        <w:spacing w:before="120" w:after="20"/>
      </w:pPr>
      <w:r>
        <w:rPr>
          <w:b/>
          <w:color w:val="0A2240"/>
          <w:sz w:val="21"/>
        </w:rPr>
        <w:t>Multifamily (5+)</w:t>
      </w:r>
    </w:p>
    <w:p>
      <w:pPr>
        <w:spacing w:after="80"/>
        <w:ind w:left="0"/>
      </w:pPr>
      <w:r>
        <w:rPr>
          <w:color w:val="334155"/>
          <w:sz w:val="20"/>
        </w:rPr>
        <w:t>Residential property with five or more units, classified as commercial for lending purposes.</w:t>
      </w:r>
    </w:p>
    <w:p>
      <w:pPr>
        <w:spacing w:before="120" w:after="20"/>
      </w:pPr>
      <w:r>
        <w:rPr>
          <w:b/>
          <w:color w:val="0A2240"/>
          <w:sz w:val="21"/>
        </w:rPr>
        <w:t>Neighborhood Center</w:t>
      </w:r>
    </w:p>
    <w:p>
      <w:pPr>
        <w:spacing w:after="80"/>
        <w:ind w:left="0"/>
      </w:pPr>
      <w:r>
        <w:rPr>
          <w:color w:val="334155"/>
          <w:sz w:val="20"/>
        </w:rPr>
        <w:t>A retail center anchored by a grocery store serving daily needs of nearby residents.</w:t>
      </w:r>
    </w:p>
    <w:p>
      <w:pPr>
        <w:spacing w:before="120" w:after="20"/>
      </w:pPr>
      <w:r>
        <w:rPr>
          <w:b/>
          <w:color w:val="0A2240"/>
          <w:sz w:val="21"/>
        </w:rPr>
        <w:t>Office Building</w:t>
      </w:r>
    </w:p>
    <w:p>
      <w:pPr>
        <w:spacing w:after="80"/>
        <w:ind w:left="0"/>
      </w:pPr>
      <w:r>
        <w:rPr>
          <w:color w:val="334155"/>
          <w:sz w:val="20"/>
        </w:rPr>
        <w:t>A commercial property used primarily for professional workspaces, classified by Class A, B, or C.</w:t>
      </w:r>
    </w:p>
    <w:p>
      <w:pPr>
        <w:spacing w:before="120" w:after="20"/>
      </w:pPr>
      <w:r>
        <w:rPr>
          <w:b/>
          <w:color w:val="0A2240"/>
          <w:sz w:val="21"/>
        </w:rPr>
        <w:t>Patio Home</w:t>
      </w:r>
    </w:p>
    <w:p>
      <w:pPr>
        <w:spacing w:after="80"/>
        <w:ind w:left="0"/>
      </w:pPr>
      <w:r>
        <w:rPr>
          <w:color w:val="334155"/>
          <w:sz w:val="20"/>
        </w:rPr>
        <w:t>A small single-family home, often in a 55+ community, with minimal yard maintenance.</w:t>
      </w:r>
    </w:p>
    <w:p>
      <w:pPr>
        <w:spacing w:before="120" w:after="20"/>
      </w:pPr>
      <w:r>
        <w:rPr>
          <w:b/>
          <w:color w:val="0A2240"/>
          <w:sz w:val="21"/>
        </w:rPr>
        <w:t>Penthouse</w:t>
      </w:r>
    </w:p>
    <w:p>
      <w:pPr>
        <w:spacing w:after="80"/>
        <w:ind w:left="0"/>
      </w:pPr>
      <w:r>
        <w:rPr>
          <w:color w:val="334155"/>
          <w:sz w:val="20"/>
        </w:rPr>
        <w:t>An upscale residence on the top floor of a multi-story building.</w:t>
      </w:r>
    </w:p>
    <w:p>
      <w:pPr>
        <w:spacing w:before="120" w:after="20"/>
      </w:pPr>
      <w:r>
        <w:rPr>
          <w:b/>
          <w:color w:val="0A2240"/>
          <w:sz w:val="21"/>
        </w:rPr>
        <w:t>Power Center</w:t>
      </w:r>
    </w:p>
    <w:p>
      <w:pPr>
        <w:spacing w:after="80"/>
        <w:ind w:left="0"/>
      </w:pPr>
      <w:r>
        <w:rPr>
          <w:color w:val="334155"/>
          <w:sz w:val="20"/>
        </w:rPr>
        <w:t>A retail center anchored by multiple big-box stores.</w:t>
      </w:r>
    </w:p>
    <w:p>
      <w:pPr>
        <w:spacing w:before="120" w:after="20"/>
      </w:pPr>
      <w:r>
        <w:rPr>
          <w:b/>
          <w:color w:val="0A2240"/>
          <w:sz w:val="21"/>
        </w:rPr>
        <w:t>Pueblo Style</w:t>
      </w:r>
    </w:p>
    <w:p>
      <w:pPr>
        <w:spacing w:after="80"/>
        <w:ind w:left="0"/>
      </w:pPr>
      <w:r>
        <w:rPr>
          <w:color w:val="334155"/>
          <w:sz w:val="20"/>
        </w:rPr>
        <w:t>Southwestern architectural style mimicking adobe construction with flat roofs and earth tones.</w:t>
      </w:r>
    </w:p>
    <w:p>
      <w:pPr>
        <w:spacing w:before="120" w:after="20"/>
      </w:pPr>
      <w:r>
        <w:rPr>
          <w:b/>
          <w:color w:val="0A2240"/>
          <w:sz w:val="21"/>
        </w:rPr>
        <w:t>Ranch Style</w:t>
      </w:r>
    </w:p>
    <w:p>
      <w:pPr>
        <w:spacing w:after="80"/>
        <w:ind w:left="0"/>
      </w:pPr>
      <w:r>
        <w:rPr>
          <w:color w:val="334155"/>
          <w:sz w:val="20"/>
        </w:rPr>
        <w:t>A single-story house with a long, low profile and open layout — common in the Southwest.</w:t>
      </w:r>
    </w:p>
    <w:p>
      <w:pPr>
        <w:spacing w:before="120" w:after="20"/>
      </w:pPr>
      <w:r>
        <w:rPr>
          <w:b/>
          <w:color w:val="0A2240"/>
          <w:sz w:val="21"/>
        </w:rPr>
        <w:t>Regional Mall</w:t>
      </w:r>
    </w:p>
    <w:p>
      <w:pPr>
        <w:spacing w:after="80"/>
        <w:ind w:left="0"/>
      </w:pPr>
      <w:r>
        <w:rPr>
          <w:color w:val="334155"/>
          <w:sz w:val="20"/>
        </w:rPr>
        <w:t>A large enclosed shopping center anchored by department stores, drawing from a wide area.</w:t>
      </w:r>
    </w:p>
    <w:p>
      <w:pPr>
        <w:spacing w:before="120" w:after="20"/>
      </w:pPr>
      <w:r>
        <w:rPr>
          <w:b/>
          <w:color w:val="0A2240"/>
          <w:sz w:val="21"/>
        </w:rPr>
        <w:t>Retail Property</w:t>
      </w:r>
    </w:p>
    <w:p>
      <w:pPr>
        <w:spacing w:after="80"/>
        <w:ind w:left="0"/>
      </w:pPr>
      <w:r>
        <w:rPr>
          <w:color w:val="334155"/>
          <w:sz w:val="20"/>
        </w:rPr>
        <w:t>Commercial space leased for sale of goods or services to consumers.</w:t>
      </w:r>
    </w:p>
    <w:p>
      <w:pPr>
        <w:spacing w:before="120" w:after="20"/>
      </w:pPr>
      <w:r>
        <w:rPr>
          <w:b/>
          <w:color w:val="0A2240"/>
          <w:sz w:val="21"/>
        </w:rPr>
        <w:t>Self-Storage Facility</w:t>
      </w:r>
    </w:p>
    <w:p>
      <w:pPr>
        <w:spacing w:after="80"/>
        <w:ind w:left="0"/>
      </w:pPr>
      <w:r>
        <w:rPr>
          <w:color w:val="334155"/>
          <w:sz w:val="20"/>
        </w:rPr>
        <w:t>A property containing rentable storage units for personal or business use.</w:t>
      </w:r>
    </w:p>
    <w:p>
      <w:pPr>
        <w:spacing w:before="120" w:after="20"/>
      </w:pPr>
      <w:r>
        <w:rPr>
          <w:b/>
          <w:color w:val="0A2240"/>
          <w:sz w:val="21"/>
        </w:rPr>
        <w:t>Single-Family Residence (SFR)</w:t>
      </w:r>
    </w:p>
    <w:p>
      <w:pPr>
        <w:spacing w:after="80"/>
        <w:ind w:left="0"/>
      </w:pPr>
      <w:r>
        <w:rPr>
          <w:color w:val="334155"/>
          <w:sz w:val="20"/>
        </w:rPr>
        <w:t>A standalone dwelling designed for one household.</w:t>
      </w:r>
    </w:p>
    <w:p>
      <w:pPr>
        <w:spacing w:before="120" w:after="20"/>
      </w:pPr>
      <w:r>
        <w:rPr>
          <w:b/>
          <w:color w:val="0A2240"/>
          <w:sz w:val="21"/>
        </w:rPr>
        <w:t>Skilled Nursing Facility (SNF)</w:t>
      </w:r>
    </w:p>
    <w:p>
      <w:pPr>
        <w:spacing w:after="80"/>
        <w:ind w:left="0"/>
      </w:pPr>
      <w:r>
        <w:rPr>
          <w:color w:val="334155"/>
          <w:sz w:val="20"/>
        </w:rPr>
        <w:t>Licensed residential care providing 24-hour medical and personal services.</w:t>
      </w:r>
    </w:p>
    <w:p>
      <w:pPr>
        <w:spacing w:before="120" w:after="20"/>
      </w:pPr>
      <w:r>
        <w:rPr>
          <w:b/>
          <w:color w:val="0A2240"/>
          <w:sz w:val="21"/>
        </w:rPr>
        <w:t>Strip Center</w:t>
      </w:r>
    </w:p>
    <w:p>
      <w:pPr>
        <w:spacing w:after="80"/>
        <w:ind w:left="0"/>
      </w:pPr>
      <w:r>
        <w:rPr>
          <w:color w:val="334155"/>
          <w:sz w:val="20"/>
        </w:rPr>
        <w:t>A small retail center with stores facing a parking lot, typically without anchor tenants.</w:t>
      </w:r>
    </w:p>
    <w:p>
      <w:pPr>
        <w:spacing w:before="120" w:after="20"/>
      </w:pPr>
      <w:r>
        <w:rPr>
          <w:b/>
          <w:color w:val="0A2240"/>
          <w:sz w:val="21"/>
        </w:rPr>
        <w:t>Tiny Home</w:t>
      </w:r>
    </w:p>
    <w:p>
      <w:pPr>
        <w:spacing w:after="80"/>
        <w:ind w:left="0"/>
      </w:pPr>
      <w:r>
        <w:rPr>
          <w:color w:val="334155"/>
          <w:sz w:val="20"/>
        </w:rPr>
        <w:t>A small dwelling, typically under 400 sq ft, often on a movable chassis or fixed foundation.</w:t>
      </w:r>
    </w:p>
    <w:p>
      <w:pPr>
        <w:spacing w:before="120" w:after="20"/>
      </w:pPr>
      <w:r>
        <w:rPr>
          <w:b/>
          <w:color w:val="0A2240"/>
          <w:sz w:val="21"/>
        </w:rPr>
        <w:t>Townhouse</w:t>
      </w:r>
    </w:p>
    <w:p>
      <w:pPr>
        <w:spacing w:after="80"/>
        <w:ind w:left="0"/>
      </w:pPr>
      <w:r>
        <w:rPr>
          <w:color w:val="334155"/>
          <w:sz w:val="20"/>
        </w:rPr>
        <w:t>A multi-floor home sharing one or two walls with adjacent properties but with its own entrance.</w:t>
      </w:r>
    </w:p>
    <w:p>
      <w:pPr>
        <w:spacing w:before="120" w:after="20"/>
      </w:pPr>
      <w:r>
        <w:rPr>
          <w:b/>
          <w:color w:val="0A2240"/>
          <w:sz w:val="21"/>
        </w:rPr>
        <w:t>Triplex</w:t>
      </w:r>
    </w:p>
    <w:p>
      <w:pPr>
        <w:spacing w:after="80"/>
        <w:ind w:left="0"/>
      </w:pPr>
      <w:r>
        <w:rPr>
          <w:color w:val="334155"/>
          <w:sz w:val="20"/>
        </w:rPr>
        <w:t>A residential building with three separate dwelling units.</w:t>
      </w:r>
    </w:p>
    <w:p>
      <w:pPr>
        <w:spacing w:before="120" w:after="20"/>
      </w:pPr>
      <w:r>
        <w:rPr>
          <w:b/>
          <w:color w:val="0A2240"/>
          <w:sz w:val="21"/>
        </w:rPr>
        <w:t>Tudor Style</w:t>
      </w:r>
    </w:p>
    <w:p>
      <w:pPr>
        <w:spacing w:after="80"/>
        <w:ind w:left="0"/>
      </w:pPr>
      <w:r>
        <w:rPr>
          <w:color w:val="334155"/>
          <w:sz w:val="20"/>
        </w:rPr>
        <w:t>A house style with steep rooflines, prominent chimneys, and half-timbered exterior details.</w:t>
      </w:r>
    </w:p>
    <w:p>
      <w:r>
        <w:rPr>
          <w:b/>
          <w:color w:val="B22234"/>
          <w:sz w:val="28"/>
        </w:rPr>
        <w:t>Real Estate Fundamentals</w:t>
      </w:r>
    </w:p>
    <w:p>
      <w:pPr>
        <w:spacing w:before="120" w:after="20"/>
      </w:pPr>
      <w:r>
        <w:rPr>
          <w:b/>
          <w:color w:val="0A2240"/>
          <w:sz w:val="21"/>
        </w:rPr>
        <w:t>Adverse Possession</w:t>
      </w:r>
    </w:p>
    <w:p>
      <w:pPr>
        <w:spacing w:after="80"/>
        <w:ind w:left="0"/>
      </w:pPr>
      <w:r>
        <w:rPr>
          <w:color w:val="334155"/>
          <w:sz w:val="20"/>
        </w:rPr>
        <w:t>Acquiring legal ownership of land by openly using it without permission for a statutory period.</w:t>
      </w:r>
    </w:p>
    <w:p>
      <w:pPr>
        <w:spacing w:before="120" w:after="20"/>
      </w:pPr>
      <w:r>
        <w:rPr>
          <w:b/>
          <w:color w:val="0A2240"/>
          <w:sz w:val="21"/>
        </w:rPr>
        <w:t>Air Rights</w:t>
      </w:r>
    </w:p>
    <w:p>
      <w:pPr>
        <w:spacing w:after="80"/>
        <w:ind w:left="0"/>
      </w:pPr>
      <w:r>
        <w:rPr>
          <w:color w:val="334155"/>
          <w:sz w:val="20"/>
        </w:rPr>
        <w:t>The legal right to use, control, or develop the space above a parcel of land.</w:t>
      </w:r>
    </w:p>
    <w:p>
      <w:pPr>
        <w:spacing w:before="120" w:after="20"/>
      </w:pPr>
      <w:r>
        <w:rPr>
          <w:b/>
          <w:color w:val="0A2240"/>
          <w:sz w:val="21"/>
        </w:rPr>
        <w:t>Allodial System</w:t>
      </w:r>
    </w:p>
    <w:p>
      <w:pPr>
        <w:spacing w:after="80"/>
        <w:ind w:left="0"/>
      </w:pPr>
      <w:r>
        <w:rPr>
          <w:color w:val="334155"/>
          <w:sz w:val="20"/>
        </w:rPr>
        <w:t>A system of land ownership where individuals own land outright, free of government claim — the U.S. model.</w:t>
      </w:r>
    </w:p>
    <w:p>
      <w:pPr>
        <w:spacing w:before="120" w:after="20"/>
      </w:pPr>
      <w:r>
        <w:rPr>
          <w:b/>
          <w:color w:val="0A2240"/>
          <w:sz w:val="21"/>
        </w:rPr>
        <w:t>Annexation</w:t>
      </w:r>
    </w:p>
    <w:p>
      <w:pPr>
        <w:spacing w:after="80"/>
        <w:ind w:left="0"/>
      </w:pPr>
      <w:r>
        <w:rPr>
          <w:color w:val="334155"/>
          <w:sz w:val="20"/>
        </w:rPr>
        <w:t>Attaching personal property to real estate so it becomes a fixture.</w:t>
      </w:r>
    </w:p>
    <w:p>
      <w:pPr>
        <w:spacing w:before="120" w:after="20"/>
      </w:pPr>
      <w:r>
        <w:rPr>
          <w:b/>
          <w:color w:val="0A2240"/>
          <w:sz w:val="21"/>
        </w:rPr>
        <w:t>Bench Mark</w:t>
      </w:r>
    </w:p>
    <w:p>
      <w:pPr>
        <w:spacing w:after="80"/>
        <w:ind w:left="0"/>
      </w:pPr>
      <w:r>
        <w:rPr>
          <w:color w:val="334155"/>
          <w:sz w:val="20"/>
        </w:rPr>
        <w:t>A surveyor's permanent reference point of known elevation.</w:t>
      </w:r>
    </w:p>
    <w:p>
      <w:pPr>
        <w:spacing w:before="120" w:after="20"/>
      </w:pPr>
      <w:r>
        <w:rPr>
          <w:b/>
          <w:color w:val="0A2240"/>
          <w:sz w:val="21"/>
        </w:rPr>
        <w:t>Boundary Dispute</w:t>
      </w:r>
    </w:p>
    <w:p>
      <w:pPr>
        <w:spacing w:after="80"/>
        <w:ind w:left="0"/>
      </w:pPr>
      <w:r>
        <w:rPr>
          <w:color w:val="334155"/>
          <w:sz w:val="20"/>
        </w:rPr>
        <w:t>A disagreement between neighboring owners about where a property line lies.</w:t>
      </w:r>
    </w:p>
    <w:p>
      <w:pPr>
        <w:spacing w:before="120" w:after="20"/>
      </w:pPr>
      <w:r>
        <w:rPr>
          <w:b/>
          <w:color w:val="0A2240"/>
          <w:sz w:val="21"/>
        </w:rPr>
        <w:t>Bundle of Rights</w:t>
      </w:r>
    </w:p>
    <w:p>
      <w:pPr>
        <w:spacing w:after="80"/>
        <w:ind w:left="0"/>
      </w:pPr>
      <w:r>
        <w:rPr>
          <w:color w:val="334155"/>
          <w:sz w:val="20"/>
        </w:rPr>
        <w:t>The set of legal rights that come with property ownership — possession, control, exclusion, enjoyment, and disposition.</w:t>
      </w:r>
    </w:p>
    <w:p>
      <w:pPr>
        <w:spacing w:before="120" w:after="20"/>
      </w:pPr>
      <w:r>
        <w:rPr>
          <w:b/>
          <w:color w:val="0A2240"/>
          <w:sz w:val="21"/>
        </w:rPr>
        <w:t>Caveat Emptor</w:t>
      </w:r>
    </w:p>
    <w:p>
      <w:pPr>
        <w:spacing w:after="80"/>
        <w:ind w:left="0"/>
      </w:pPr>
      <w:r>
        <w:rPr>
          <w:color w:val="334155"/>
          <w:sz w:val="20"/>
        </w:rPr>
        <w:t>Latin for &amp;quot;let the buyer beware&amp;quot; — the traditional doctrine of buyer responsibility.</w:t>
      </w:r>
    </w:p>
    <w:p>
      <w:pPr>
        <w:spacing w:before="120" w:after="20"/>
      </w:pPr>
      <w:r>
        <w:rPr>
          <w:b/>
          <w:color w:val="0A2240"/>
          <w:sz w:val="21"/>
        </w:rPr>
        <w:t>Community Property</w:t>
      </w:r>
    </w:p>
    <w:p>
      <w:pPr>
        <w:spacing w:after="80"/>
        <w:ind w:left="0"/>
      </w:pPr>
      <w:r>
        <w:rPr>
          <w:color w:val="334155"/>
          <w:sz w:val="20"/>
        </w:rPr>
        <w:t>A form of ownership in certain states where property acquired during marriage is jointly owned.</w:t>
      </w:r>
    </w:p>
    <w:p>
      <w:pPr>
        <w:spacing w:before="120" w:after="20"/>
      </w:pPr>
      <w:r>
        <w:rPr>
          <w:b/>
          <w:color w:val="0A2240"/>
          <w:sz w:val="21"/>
        </w:rPr>
        <w:t>Curb Appeal</w:t>
      </w:r>
    </w:p>
    <w:p>
      <w:pPr>
        <w:spacing w:after="80"/>
        <w:ind w:left="0"/>
      </w:pPr>
      <w:r>
        <w:rPr>
          <w:color w:val="334155"/>
          <w:sz w:val="20"/>
        </w:rPr>
        <w:t>The visual attractiveness of a property when viewed from the street.</w:t>
      </w:r>
    </w:p>
    <w:p>
      <w:pPr>
        <w:spacing w:before="120" w:after="20"/>
      </w:pPr>
      <w:r>
        <w:rPr>
          <w:b/>
          <w:color w:val="0A2240"/>
          <w:sz w:val="21"/>
        </w:rPr>
        <w:t>Doctrine of Emblements</w:t>
      </w:r>
    </w:p>
    <w:p>
      <w:pPr>
        <w:spacing w:after="80"/>
        <w:ind w:left="0"/>
      </w:pPr>
      <w:r>
        <w:rPr>
          <w:color w:val="334155"/>
          <w:sz w:val="20"/>
        </w:rPr>
        <w:t>A tenant farmer's right to harvest annual crops planted during the tenancy.</w:t>
      </w:r>
    </w:p>
    <w:p>
      <w:pPr>
        <w:spacing w:before="120" w:after="20"/>
      </w:pPr>
      <w:r>
        <w:rPr>
          <w:b/>
          <w:color w:val="0A2240"/>
          <w:sz w:val="21"/>
        </w:rPr>
        <w:t>Easement</w:t>
      </w:r>
    </w:p>
    <w:p>
      <w:pPr>
        <w:spacing w:after="80"/>
        <w:ind w:left="0"/>
      </w:pPr>
      <w:r>
        <w:rPr>
          <w:color w:val="334155"/>
          <w:sz w:val="20"/>
        </w:rPr>
        <w:t>A legal right to use another person's land for a specific purpose, such as a utility line or shared driveway.</w:t>
      </w:r>
    </w:p>
    <w:p>
      <w:pPr>
        <w:spacing w:before="120" w:after="20"/>
      </w:pPr>
      <w:r>
        <w:rPr>
          <w:b/>
          <w:color w:val="0A2240"/>
          <w:sz w:val="21"/>
        </w:rPr>
        <w:t>Encroachment</w:t>
      </w:r>
    </w:p>
    <w:p>
      <w:pPr>
        <w:spacing w:after="80"/>
        <w:ind w:left="0"/>
      </w:pPr>
      <w:r>
        <w:rPr>
          <w:color w:val="334155"/>
          <w:sz w:val="20"/>
        </w:rPr>
        <w:t>An unauthorized intrusion of a structure or improvement onto a neighbor's property.</w:t>
      </w:r>
    </w:p>
    <w:p>
      <w:pPr>
        <w:spacing w:before="120" w:after="20"/>
      </w:pPr>
      <w:r>
        <w:rPr>
          <w:b/>
          <w:color w:val="0A2240"/>
          <w:sz w:val="21"/>
        </w:rPr>
        <w:t>Encumbrance</w:t>
      </w:r>
    </w:p>
    <w:p>
      <w:pPr>
        <w:spacing w:after="80"/>
        <w:ind w:left="0"/>
      </w:pPr>
      <w:r>
        <w:rPr>
          <w:color w:val="334155"/>
          <w:sz w:val="20"/>
        </w:rPr>
        <w:t>Any claim, lien, charge, or liability attached to real property that may diminish its value or use.</w:t>
      </w:r>
    </w:p>
    <w:p>
      <w:pPr>
        <w:spacing w:before="120" w:after="20"/>
      </w:pPr>
      <w:r>
        <w:rPr>
          <w:b/>
          <w:color w:val="0A2240"/>
          <w:sz w:val="21"/>
        </w:rPr>
        <w:t>Estate</w:t>
      </w:r>
    </w:p>
    <w:p>
      <w:pPr>
        <w:spacing w:after="80"/>
        <w:ind w:left="0"/>
      </w:pPr>
      <w:r>
        <w:rPr>
          <w:color w:val="334155"/>
          <w:sz w:val="20"/>
        </w:rPr>
        <w:t>The degree, nature, and extent of an owner's interest in real property.</w:t>
      </w:r>
    </w:p>
    <w:p>
      <w:pPr>
        <w:spacing w:before="120" w:after="20"/>
      </w:pPr>
      <w:r>
        <w:rPr>
          <w:b/>
          <w:color w:val="0A2240"/>
          <w:sz w:val="21"/>
        </w:rPr>
        <w:t>Fee Simple</w:t>
      </w:r>
    </w:p>
    <w:p>
      <w:pPr>
        <w:spacing w:after="80"/>
        <w:ind w:left="0"/>
      </w:pPr>
      <w:r>
        <w:rPr>
          <w:color w:val="334155"/>
          <w:sz w:val="20"/>
        </w:rPr>
        <w:t>The most complete form of ownership in real estate — unlimited duration, freely transferable.</w:t>
      </w:r>
    </w:p>
    <w:p>
      <w:pPr>
        <w:spacing w:before="120" w:after="20"/>
      </w:pPr>
      <w:r>
        <w:rPr>
          <w:b/>
          <w:color w:val="0A2240"/>
          <w:sz w:val="21"/>
        </w:rPr>
        <w:t>Fixture</w:t>
      </w:r>
    </w:p>
    <w:p>
      <w:pPr>
        <w:spacing w:after="80"/>
        <w:ind w:left="0"/>
      </w:pPr>
      <w:r>
        <w:rPr>
          <w:color w:val="334155"/>
          <w:sz w:val="20"/>
        </w:rPr>
        <w:t>An item of personal property that becomes part of real property by being permanently attached.</w:t>
      </w:r>
    </w:p>
    <w:p>
      <w:pPr>
        <w:spacing w:before="120" w:after="20"/>
      </w:pPr>
      <w:r>
        <w:rPr>
          <w:b/>
          <w:color w:val="0A2240"/>
          <w:sz w:val="21"/>
        </w:rPr>
        <w:t>Functional Square Footage</w:t>
      </w:r>
    </w:p>
    <w:p>
      <w:pPr>
        <w:spacing w:after="80"/>
        <w:ind w:left="0"/>
      </w:pPr>
      <w:r>
        <w:rPr>
          <w:color w:val="334155"/>
          <w:sz w:val="20"/>
        </w:rPr>
        <w:t>Usable interior space, excluding garages, basements, or unfinished areas.</w:t>
      </w:r>
    </w:p>
    <w:p>
      <w:pPr>
        <w:spacing w:before="120" w:after="20"/>
      </w:pPr>
      <w:r>
        <w:rPr>
          <w:b/>
          <w:color w:val="0A2240"/>
          <w:sz w:val="21"/>
        </w:rPr>
        <w:t>Gross Square Footage</w:t>
      </w:r>
    </w:p>
    <w:p>
      <w:pPr>
        <w:spacing w:after="80"/>
        <w:ind w:left="0"/>
      </w:pPr>
      <w:r>
        <w:rPr>
          <w:color w:val="334155"/>
          <w:sz w:val="20"/>
        </w:rPr>
        <w:t>Total measurement including all interior and structural areas.</w:t>
      </w:r>
    </w:p>
    <w:p>
      <w:pPr>
        <w:spacing w:before="120" w:after="20"/>
      </w:pPr>
      <w:r>
        <w:rPr>
          <w:b/>
          <w:color w:val="0A2240"/>
          <w:sz w:val="21"/>
        </w:rPr>
        <w:t>Homestead</w:t>
      </w:r>
    </w:p>
    <w:p>
      <w:pPr>
        <w:spacing w:after="80"/>
        <w:ind w:left="0"/>
      </w:pPr>
      <w:r>
        <w:rPr>
          <w:color w:val="334155"/>
          <w:sz w:val="20"/>
        </w:rPr>
        <w:t>A legal designation that protects a primary residence from certain creditors and may provide tax benefits.</w:t>
      </w:r>
    </w:p>
    <w:p>
      <w:pPr>
        <w:spacing w:before="120" w:after="20"/>
      </w:pPr>
      <w:r>
        <w:rPr>
          <w:b/>
          <w:color w:val="0A2240"/>
          <w:sz w:val="21"/>
        </w:rPr>
        <w:t>Joint Tenancy</w:t>
      </w:r>
    </w:p>
    <w:p>
      <w:pPr>
        <w:spacing w:after="80"/>
        <w:ind w:left="0"/>
      </w:pPr>
      <w:r>
        <w:rPr>
          <w:color w:val="334155"/>
          <w:sz w:val="20"/>
        </w:rPr>
        <w:t>Co-ownership of property with right of survivorship — when one owner dies, their share passes to the others.</w:t>
      </w:r>
    </w:p>
    <w:p>
      <w:pPr>
        <w:spacing w:before="120" w:after="20"/>
      </w:pPr>
      <w:r>
        <w:rPr>
          <w:b/>
          <w:color w:val="0A2240"/>
          <w:sz w:val="21"/>
        </w:rPr>
        <w:t>Latent Defect</w:t>
      </w:r>
    </w:p>
    <w:p>
      <w:pPr>
        <w:spacing w:after="80"/>
        <w:ind w:left="0"/>
      </w:pPr>
      <w:r>
        <w:rPr>
          <w:color w:val="334155"/>
          <w:sz w:val="20"/>
        </w:rPr>
        <w:t>A property defect not visible on inspection that the seller may be legally required to disclose.</w:t>
      </w:r>
    </w:p>
    <w:p>
      <w:pPr>
        <w:spacing w:before="120" w:after="20"/>
      </w:pPr>
      <w:r>
        <w:rPr>
          <w:b/>
          <w:color w:val="0A2240"/>
          <w:sz w:val="21"/>
        </w:rPr>
        <w:t>Lateral Support</w:t>
      </w:r>
    </w:p>
    <w:p>
      <w:pPr>
        <w:spacing w:after="80"/>
        <w:ind w:left="0"/>
      </w:pPr>
      <w:r>
        <w:rPr>
          <w:color w:val="334155"/>
          <w:sz w:val="20"/>
        </w:rPr>
        <w:t>A landowner's right to have adjacent land naturally support their own.</w:t>
      </w:r>
    </w:p>
    <w:p>
      <w:pPr>
        <w:spacing w:before="120" w:after="20"/>
      </w:pPr>
      <w:r>
        <w:rPr>
          <w:b/>
          <w:color w:val="0A2240"/>
          <w:sz w:val="21"/>
        </w:rPr>
        <w:t>Lead-Based Paint Disclosure</w:t>
      </w:r>
    </w:p>
    <w:p>
      <w:pPr>
        <w:spacing w:after="80"/>
        <w:ind w:left="0"/>
      </w:pPr>
      <w:r>
        <w:rPr>
          <w:color w:val="334155"/>
          <w:sz w:val="20"/>
        </w:rPr>
        <w:t>A federal disclosure for homes built before 1978 regarding lead-based paint hazards.</w:t>
      </w:r>
    </w:p>
    <w:p>
      <w:pPr>
        <w:spacing w:before="120" w:after="20"/>
      </w:pPr>
      <w:r>
        <w:rPr>
          <w:b/>
          <w:color w:val="0A2240"/>
          <w:sz w:val="21"/>
        </w:rPr>
        <w:t>Leasehold</w:t>
      </w:r>
    </w:p>
    <w:p>
      <w:pPr>
        <w:spacing w:after="80"/>
        <w:ind w:left="0"/>
      </w:pPr>
      <w:r>
        <w:rPr>
          <w:color w:val="334155"/>
          <w:sz w:val="20"/>
        </w:rPr>
        <w:t>An interest in real estate that gives the holder the right to use the property for a specified period under a lease.</w:t>
      </w:r>
    </w:p>
    <w:p>
      <w:pPr>
        <w:spacing w:before="120" w:after="20"/>
      </w:pPr>
      <w:r>
        <w:rPr>
          <w:b/>
          <w:color w:val="0A2240"/>
          <w:sz w:val="21"/>
        </w:rPr>
        <w:t>Lien</w:t>
      </w:r>
    </w:p>
    <w:p>
      <w:pPr>
        <w:spacing w:after="80"/>
        <w:ind w:left="0"/>
      </w:pPr>
      <w:r>
        <w:rPr>
          <w:color w:val="334155"/>
          <w:sz w:val="20"/>
        </w:rPr>
        <w:t>A legal claim against a property used as collateral or security for a debt.</w:t>
      </w:r>
    </w:p>
    <w:p>
      <w:pPr>
        <w:spacing w:before="120" w:after="20"/>
      </w:pPr>
      <w:r>
        <w:rPr>
          <w:b/>
          <w:color w:val="0A2240"/>
          <w:sz w:val="21"/>
        </w:rPr>
        <w:t>Life Estate</w:t>
      </w:r>
    </w:p>
    <w:p>
      <w:pPr>
        <w:spacing w:after="80"/>
        <w:ind w:left="0"/>
      </w:pPr>
      <w:r>
        <w:rPr>
          <w:color w:val="334155"/>
          <w:sz w:val="20"/>
        </w:rPr>
        <w:t>An ownership interest that lasts for the lifetime of a specified person.</w:t>
      </w:r>
    </w:p>
    <w:p>
      <w:pPr>
        <w:spacing w:before="120" w:after="20"/>
      </w:pPr>
      <w:r>
        <w:rPr>
          <w:b/>
          <w:color w:val="0A2240"/>
          <w:sz w:val="21"/>
        </w:rPr>
        <w:t>Littoral Rights</w:t>
      </w:r>
    </w:p>
    <w:p>
      <w:pPr>
        <w:spacing w:after="80"/>
        <w:ind w:left="0"/>
      </w:pPr>
      <w:r>
        <w:rPr>
          <w:color w:val="334155"/>
          <w:sz w:val="20"/>
        </w:rPr>
        <w:t>The rights of property owners whose land borders a non-flowing body of water like a lake or ocean.</w:t>
      </w:r>
    </w:p>
    <w:p>
      <w:pPr>
        <w:spacing w:before="120" w:after="20"/>
      </w:pPr>
      <w:r>
        <w:rPr>
          <w:b/>
          <w:color w:val="0A2240"/>
          <w:sz w:val="21"/>
        </w:rPr>
        <w:t>Marketability</w:t>
      </w:r>
    </w:p>
    <w:p>
      <w:pPr>
        <w:spacing w:after="80"/>
        <w:ind w:left="0"/>
      </w:pPr>
      <w:r>
        <w:rPr>
          <w:color w:val="334155"/>
          <w:sz w:val="20"/>
        </w:rPr>
        <w:t>The ease with which a property can be sold at fair value in the current market.</w:t>
      </w:r>
    </w:p>
    <w:p>
      <w:pPr>
        <w:spacing w:before="120" w:after="20"/>
      </w:pPr>
      <w:r>
        <w:rPr>
          <w:b/>
          <w:color w:val="0A2240"/>
          <w:sz w:val="21"/>
        </w:rPr>
        <w:t>Material Fact</w:t>
      </w:r>
    </w:p>
    <w:p>
      <w:pPr>
        <w:spacing w:after="80"/>
        <w:ind w:left="0"/>
      </w:pPr>
      <w:r>
        <w:rPr>
          <w:color w:val="334155"/>
          <w:sz w:val="20"/>
        </w:rPr>
        <w:t>Information important enough to influence a buyer's decision — must be disclosed.</w:t>
      </w:r>
    </w:p>
    <w:p>
      <w:pPr>
        <w:spacing w:before="120" w:after="20"/>
      </w:pPr>
      <w:r>
        <w:rPr>
          <w:b/>
          <w:color w:val="0A2240"/>
          <w:sz w:val="21"/>
        </w:rPr>
        <w:t>Megan's Law</w:t>
      </w:r>
    </w:p>
    <w:p>
      <w:pPr>
        <w:spacing w:after="80"/>
        <w:ind w:left="0"/>
      </w:pPr>
      <w:r>
        <w:rPr>
          <w:color w:val="334155"/>
          <w:sz w:val="20"/>
        </w:rPr>
        <w:t>Statutes requiring disclosure of registered sex offenders in a neighborhood.</w:t>
      </w:r>
    </w:p>
    <w:p>
      <w:pPr>
        <w:spacing w:before="120" w:after="20"/>
      </w:pPr>
      <w:r>
        <w:rPr>
          <w:b/>
          <w:color w:val="0A2240"/>
          <w:sz w:val="21"/>
        </w:rPr>
        <w:t>Metes and Bounds</w:t>
      </w:r>
    </w:p>
    <w:p>
      <w:pPr>
        <w:spacing w:after="80"/>
        <w:ind w:left="0"/>
      </w:pPr>
      <w:r>
        <w:rPr>
          <w:color w:val="334155"/>
          <w:sz w:val="20"/>
        </w:rPr>
        <w:t>A method of describing land by its boundary lines, distances, and physical features.</w:t>
      </w:r>
    </w:p>
    <w:p>
      <w:pPr>
        <w:spacing w:before="120" w:after="20"/>
      </w:pPr>
      <w:r>
        <w:rPr>
          <w:b/>
          <w:color w:val="0A2240"/>
          <w:sz w:val="21"/>
        </w:rPr>
        <w:t>Mineral Rights</w:t>
      </w:r>
    </w:p>
    <w:p>
      <w:pPr>
        <w:spacing w:after="80"/>
        <w:ind w:left="0"/>
      </w:pPr>
      <w:r>
        <w:rPr>
          <w:color w:val="334155"/>
          <w:sz w:val="20"/>
        </w:rPr>
        <w:t>The legal right to extract minerals from beneath a parcel of land, sometimes sold separately from the surface.</w:t>
      </w:r>
    </w:p>
    <w:p>
      <w:pPr>
        <w:spacing w:before="120" w:after="20"/>
      </w:pPr>
      <w:r>
        <w:rPr>
          <w:b/>
          <w:color w:val="0A2240"/>
          <w:sz w:val="21"/>
        </w:rPr>
        <w:t>Mold Disclosure</w:t>
      </w:r>
    </w:p>
    <w:p>
      <w:pPr>
        <w:spacing w:after="80"/>
        <w:ind w:left="0"/>
      </w:pPr>
      <w:r>
        <w:rPr>
          <w:color w:val="334155"/>
          <w:sz w:val="20"/>
        </w:rPr>
        <w:t>A disclosure of known mold issues in a property, required in many states.</w:t>
      </w:r>
    </w:p>
    <w:p>
      <w:pPr>
        <w:spacing w:before="120" w:after="20"/>
      </w:pPr>
      <w:r>
        <w:rPr>
          <w:b/>
          <w:color w:val="0A2240"/>
          <w:sz w:val="21"/>
        </w:rPr>
        <w:t>Monument</w:t>
      </w:r>
    </w:p>
    <w:p>
      <w:pPr>
        <w:spacing w:after="80"/>
        <w:ind w:left="0"/>
      </w:pPr>
      <w:r>
        <w:rPr>
          <w:color w:val="334155"/>
          <w:sz w:val="20"/>
        </w:rPr>
        <w:t>A fixed physical object (stake, marker, natural feature) defining a property boundary.</w:t>
      </w:r>
    </w:p>
    <w:p>
      <w:pPr>
        <w:spacing w:before="120" w:after="20"/>
      </w:pPr>
      <w:r>
        <w:rPr>
          <w:b/>
          <w:color w:val="0A2240"/>
          <w:sz w:val="21"/>
        </w:rPr>
        <w:t>Party Wall</w:t>
      </w:r>
    </w:p>
    <w:p>
      <w:pPr>
        <w:spacing w:after="80"/>
        <w:ind w:left="0"/>
      </w:pPr>
      <w:r>
        <w:rPr>
          <w:color w:val="334155"/>
          <w:sz w:val="20"/>
        </w:rPr>
        <w:t>A shared wall between two adjoining properties, jointly maintained.</w:t>
      </w:r>
    </w:p>
    <w:p>
      <w:pPr>
        <w:spacing w:before="120" w:after="20"/>
      </w:pPr>
      <w:r>
        <w:rPr>
          <w:b/>
          <w:color w:val="0A2240"/>
          <w:sz w:val="21"/>
        </w:rPr>
        <w:t>Patent Defect</w:t>
      </w:r>
    </w:p>
    <w:p>
      <w:pPr>
        <w:spacing w:after="80"/>
        <w:ind w:left="0"/>
      </w:pPr>
      <w:r>
        <w:rPr>
          <w:color w:val="334155"/>
          <w:sz w:val="20"/>
        </w:rPr>
        <w:t>An obvious property defect plainly visible on inspection.</w:t>
      </w:r>
    </w:p>
    <w:p>
      <w:pPr>
        <w:spacing w:before="120" w:after="20"/>
      </w:pPr>
      <w:r>
        <w:rPr>
          <w:b/>
          <w:color w:val="0A2240"/>
          <w:sz w:val="21"/>
        </w:rPr>
        <w:t>Personal Property</w:t>
      </w:r>
    </w:p>
    <w:p>
      <w:pPr>
        <w:spacing w:after="80"/>
        <w:ind w:left="0"/>
      </w:pPr>
      <w:r>
        <w:rPr>
          <w:color w:val="334155"/>
          <w:sz w:val="20"/>
        </w:rPr>
        <w:t>Movable items not permanently attached to real estate, such as furniture or appliances not built in.</w:t>
      </w:r>
    </w:p>
    <w:p>
      <w:pPr>
        <w:spacing w:before="120" w:after="20"/>
      </w:pPr>
      <w:r>
        <w:rPr>
          <w:b/>
          <w:color w:val="0A2240"/>
          <w:sz w:val="21"/>
        </w:rPr>
        <w:t>Plat</w:t>
      </w:r>
    </w:p>
    <w:p>
      <w:pPr>
        <w:spacing w:after="80"/>
        <w:ind w:left="0"/>
      </w:pPr>
      <w:r>
        <w:rPr>
          <w:color w:val="334155"/>
          <w:sz w:val="20"/>
        </w:rPr>
        <w:t>A map drawn to scale showing the divisions of a piece of land into lots, with streets and easements.</w:t>
      </w:r>
    </w:p>
    <w:p>
      <w:pPr>
        <w:spacing w:before="120" w:after="20"/>
      </w:pPr>
      <w:r>
        <w:rPr>
          <w:b/>
          <w:color w:val="0A2240"/>
          <w:sz w:val="21"/>
        </w:rPr>
        <w:t>Police Power</w:t>
      </w:r>
    </w:p>
    <w:p>
      <w:pPr>
        <w:spacing w:after="80"/>
        <w:ind w:left="0"/>
      </w:pPr>
      <w:r>
        <w:rPr>
          <w:color w:val="334155"/>
          <w:sz w:val="20"/>
        </w:rPr>
        <w:t>The government's right to regulate land use through zoning, building codes, and health rules.</w:t>
      </w:r>
    </w:p>
    <w:p>
      <w:pPr>
        <w:spacing w:before="120" w:after="20"/>
      </w:pPr>
      <w:r>
        <w:rPr>
          <w:b/>
          <w:color w:val="0A2240"/>
          <w:sz w:val="21"/>
        </w:rPr>
        <w:t>Price Per Square Foot</w:t>
      </w:r>
    </w:p>
    <w:p>
      <w:pPr>
        <w:spacing w:after="80"/>
        <w:ind w:left="0"/>
      </w:pPr>
      <w:r>
        <w:rPr>
          <w:color w:val="334155"/>
          <w:sz w:val="20"/>
        </w:rPr>
        <w:t>Property price divided by total square footage — a common comparison metric.</w:t>
      </w:r>
    </w:p>
    <w:p>
      <w:pPr>
        <w:spacing w:before="120" w:after="20"/>
      </w:pPr>
      <w:r>
        <w:rPr>
          <w:b/>
          <w:color w:val="0A2240"/>
          <w:sz w:val="21"/>
        </w:rPr>
        <w:t>Profit a Prendre</w:t>
      </w:r>
    </w:p>
    <w:p>
      <w:pPr>
        <w:spacing w:after="80"/>
        <w:ind w:left="0"/>
      </w:pPr>
      <w:r>
        <w:rPr>
          <w:color w:val="334155"/>
          <w:sz w:val="20"/>
        </w:rPr>
        <w:t>The right to enter another's land and take resources such as timber, minerals, or game.</w:t>
      </w:r>
    </w:p>
    <w:p>
      <w:pPr>
        <w:spacing w:before="120" w:after="20"/>
      </w:pPr>
      <w:r>
        <w:rPr>
          <w:b/>
          <w:color w:val="0A2240"/>
          <w:sz w:val="21"/>
        </w:rPr>
        <w:t>PUD</w:t>
      </w:r>
    </w:p>
    <w:p>
      <w:pPr>
        <w:spacing w:after="80"/>
        <w:ind w:left="0"/>
      </w:pPr>
      <w:r>
        <w:rPr>
          <w:color w:val="334155"/>
          <w:sz w:val="20"/>
        </w:rPr>
        <w:t>Planned Unit Development — a community of homes with shared common areas governed by an HOA.</w:t>
      </w:r>
    </w:p>
    <w:p>
      <w:pPr>
        <w:spacing w:before="120" w:after="20"/>
      </w:pPr>
      <w:r>
        <w:rPr>
          <w:b/>
          <w:color w:val="0A2240"/>
          <w:sz w:val="21"/>
        </w:rPr>
        <w:t>Quiet Enjoyment</w:t>
      </w:r>
    </w:p>
    <w:p>
      <w:pPr>
        <w:spacing w:after="80"/>
        <w:ind w:left="0"/>
      </w:pPr>
      <w:r>
        <w:rPr>
          <w:color w:val="334155"/>
          <w:sz w:val="20"/>
        </w:rPr>
        <w:t>A tenant's right to occupy a property without interference from the landlord.</w:t>
      </w:r>
    </w:p>
    <w:p>
      <w:pPr>
        <w:spacing w:before="120" w:after="20"/>
      </w:pPr>
      <w:r>
        <w:rPr>
          <w:b/>
          <w:color w:val="0A2240"/>
          <w:sz w:val="21"/>
        </w:rPr>
        <w:t>Radon Disclosure</w:t>
      </w:r>
    </w:p>
    <w:p>
      <w:pPr>
        <w:spacing w:after="80"/>
        <w:ind w:left="0"/>
      </w:pPr>
      <w:r>
        <w:rPr>
          <w:color w:val="334155"/>
          <w:sz w:val="20"/>
        </w:rPr>
        <w:t>A disclosure or test for radon gas, a naturally occurring radioactive hazard.</w:t>
      </w:r>
    </w:p>
    <w:p>
      <w:pPr>
        <w:spacing w:before="120" w:after="20"/>
      </w:pPr>
      <w:r>
        <w:rPr>
          <w:b/>
          <w:color w:val="0A2240"/>
          <w:sz w:val="21"/>
        </w:rPr>
        <w:t>Real Property</w:t>
      </w:r>
    </w:p>
    <w:p>
      <w:pPr>
        <w:spacing w:after="80"/>
        <w:ind w:left="0"/>
      </w:pPr>
      <w:r>
        <w:rPr>
          <w:color w:val="334155"/>
          <w:sz w:val="20"/>
        </w:rPr>
        <w:t>Land and anything permanently attached to it, including buildings, fixtures, and rights to natural resources.</w:t>
      </w:r>
    </w:p>
    <w:p>
      <w:pPr>
        <w:spacing w:before="120" w:after="20"/>
      </w:pPr>
      <w:r>
        <w:rPr>
          <w:b/>
          <w:color w:val="0A2240"/>
          <w:sz w:val="21"/>
        </w:rPr>
        <w:t>Remainder Interest</w:t>
      </w:r>
    </w:p>
    <w:p>
      <w:pPr>
        <w:spacing w:after="80"/>
        <w:ind w:left="0"/>
      </w:pPr>
      <w:r>
        <w:rPr>
          <w:color w:val="334155"/>
          <w:sz w:val="20"/>
        </w:rPr>
        <w:t>A future ownership interest that takes effect after a life estate ends.</w:t>
      </w:r>
    </w:p>
    <w:p>
      <w:pPr>
        <w:spacing w:before="120" w:after="20"/>
      </w:pPr>
      <w:r>
        <w:rPr>
          <w:b/>
          <w:color w:val="0A2240"/>
          <w:sz w:val="21"/>
        </w:rPr>
        <w:t>Reversion</w:t>
      </w:r>
    </w:p>
    <w:p>
      <w:pPr>
        <w:spacing w:after="80"/>
        <w:ind w:left="0"/>
      </w:pPr>
      <w:r>
        <w:rPr>
          <w:color w:val="334155"/>
          <w:sz w:val="20"/>
        </w:rPr>
        <w:t>The return of property to the grantor or their heirs after a temporary interest ends.</w:t>
      </w:r>
    </w:p>
    <w:p>
      <w:pPr>
        <w:spacing w:before="120" w:after="20"/>
      </w:pPr>
      <w:r>
        <w:rPr>
          <w:b/>
          <w:color w:val="0A2240"/>
          <w:sz w:val="21"/>
        </w:rPr>
        <w:t>Right of Way</w:t>
      </w:r>
    </w:p>
    <w:p>
      <w:pPr>
        <w:spacing w:after="80"/>
        <w:ind w:left="0"/>
      </w:pPr>
      <w:r>
        <w:rPr>
          <w:color w:val="334155"/>
          <w:sz w:val="20"/>
        </w:rPr>
        <w:t>A type of easement giving the right to pass over another's property.</w:t>
      </w:r>
    </w:p>
    <w:p>
      <w:pPr>
        <w:spacing w:before="120" w:after="20"/>
      </w:pPr>
      <w:r>
        <w:rPr>
          <w:b/>
          <w:color w:val="0A2240"/>
          <w:sz w:val="21"/>
        </w:rPr>
        <w:t>Riparian Rights</w:t>
      </w:r>
    </w:p>
    <w:p>
      <w:pPr>
        <w:spacing w:after="80"/>
        <w:ind w:left="0"/>
      </w:pPr>
      <w:r>
        <w:rPr>
          <w:color w:val="334155"/>
          <w:sz w:val="20"/>
        </w:rPr>
        <w:t>Rights of landowners whose property borders a body of water to access and use that water.</w:t>
      </w:r>
    </w:p>
    <w:p>
      <w:pPr>
        <w:spacing w:before="120" w:after="20"/>
      </w:pPr>
      <w:r>
        <w:rPr>
          <w:b/>
          <w:color w:val="0A2240"/>
          <w:sz w:val="21"/>
        </w:rPr>
        <w:t>Setback</w:t>
      </w:r>
    </w:p>
    <w:p>
      <w:pPr>
        <w:spacing w:after="80"/>
        <w:ind w:left="0"/>
      </w:pPr>
      <w:r>
        <w:rPr>
          <w:color w:val="334155"/>
          <w:sz w:val="20"/>
        </w:rPr>
        <w:t>The minimum distance a building must be from a property line, street, or other feature.</w:t>
      </w:r>
    </w:p>
    <w:p>
      <w:pPr>
        <w:spacing w:before="120" w:after="20"/>
      </w:pPr>
      <w:r>
        <w:rPr>
          <w:b/>
          <w:color w:val="0A2240"/>
          <w:sz w:val="21"/>
        </w:rPr>
        <w:t>Severalty</w:t>
      </w:r>
    </w:p>
    <w:p>
      <w:pPr>
        <w:spacing w:after="80"/>
        <w:ind w:left="0"/>
      </w:pPr>
      <w:r>
        <w:rPr>
          <w:color w:val="334155"/>
          <w:sz w:val="20"/>
        </w:rPr>
        <w:t>Ownership of property by one person or entity alone.</w:t>
      </w:r>
    </w:p>
    <w:p>
      <w:pPr>
        <w:spacing w:before="120" w:after="20"/>
      </w:pPr>
      <w:r>
        <w:rPr>
          <w:b/>
          <w:color w:val="0A2240"/>
          <w:sz w:val="21"/>
        </w:rPr>
        <w:t>Severance</w:t>
      </w:r>
    </w:p>
    <w:p>
      <w:pPr>
        <w:spacing w:after="80"/>
        <w:ind w:left="0"/>
      </w:pPr>
      <w:r>
        <w:rPr>
          <w:color w:val="334155"/>
          <w:sz w:val="20"/>
        </w:rPr>
        <w:t>Detaching something from real property so it becomes personal property (e.g., harvesting trees).</w:t>
      </w:r>
    </w:p>
    <w:p>
      <w:pPr>
        <w:spacing w:before="120" w:after="20"/>
      </w:pPr>
      <w:r>
        <w:rPr>
          <w:b/>
          <w:color w:val="0A2240"/>
          <w:sz w:val="21"/>
        </w:rPr>
        <w:t>Stigmatized Property</w:t>
      </w:r>
    </w:p>
    <w:p>
      <w:pPr>
        <w:spacing w:after="80"/>
        <w:ind w:left="0"/>
      </w:pPr>
      <w:r>
        <w:rPr>
          <w:color w:val="334155"/>
          <w:sz w:val="20"/>
        </w:rPr>
        <w:t>Property with non-physical issues (death, crime) that may affect its market value.</w:t>
      </w:r>
    </w:p>
    <w:p>
      <w:pPr>
        <w:spacing w:before="120" w:after="20"/>
      </w:pPr>
      <w:r>
        <w:rPr>
          <w:b/>
          <w:color w:val="0A2240"/>
          <w:sz w:val="21"/>
        </w:rPr>
        <w:t>Subdivision</w:t>
      </w:r>
    </w:p>
    <w:p>
      <w:pPr>
        <w:spacing w:after="80"/>
        <w:ind w:left="0"/>
      </w:pPr>
      <w:r>
        <w:rPr>
          <w:color w:val="334155"/>
          <w:sz w:val="20"/>
        </w:rPr>
        <w:t>Land divided into multiple lots for sale or development.</w:t>
      </w:r>
    </w:p>
    <w:p>
      <w:pPr>
        <w:spacing w:before="120" w:after="20"/>
      </w:pPr>
      <w:r>
        <w:rPr>
          <w:b/>
          <w:color w:val="0A2240"/>
          <w:sz w:val="21"/>
        </w:rPr>
        <w:t>Subjacent Support</w:t>
      </w:r>
    </w:p>
    <w:p>
      <w:pPr>
        <w:spacing w:after="80"/>
        <w:ind w:left="0"/>
      </w:pPr>
      <w:r>
        <w:rPr>
          <w:color w:val="334155"/>
          <w:sz w:val="20"/>
        </w:rPr>
        <w:t>A landowner's right to have the land below their surface naturally support it.</w:t>
      </w:r>
    </w:p>
    <w:p>
      <w:pPr>
        <w:spacing w:before="120" w:after="20"/>
      </w:pPr>
      <w:r>
        <w:rPr>
          <w:b/>
          <w:color w:val="0A2240"/>
          <w:sz w:val="21"/>
        </w:rPr>
        <w:t>Survey</w:t>
      </w:r>
    </w:p>
    <w:p>
      <w:pPr>
        <w:spacing w:after="80"/>
        <w:ind w:left="0"/>
      </w:pPr>
      <w:r>
        <w:rPr>
          <w:color w:val="334155"/>
          <w:sz w:val="20"/>
        </w:rPr>
        <w:t>A precise measurement and mapping of a property's boundaries, structures, and easements.</w:t>
      </w:r>
    </w:p>
    <w:p>
      <w:pPr>
        <w:spacing w:before="120" w:after="20"/>
      </w:pPr>
      <w:r>
        <w:rPr>
          <w:b/>
          <w:color w:val="0A2240"/>
          <w:sz w:val="21"/>
        </w:rPr>
        <w:t>Taxation Power</w:t>
      </w:r>
    </w:p>
    <w:p>
      <w:pPr>
        <w:spacing w:after="80"/>
        <w:ind w:left="0"/>
      </w:pPr>
      <w:r>
        <w:rPr>
          <w:color w:val="334155"/>
          <w:sz w:val="20"/>
        </w:rPr>
        <w:t>The government's authority to levy property taxes — one of the four powers limiting ownership.</w:t>
      </w:r>
    </w:p>
    <w:p>
      <w:pPr>
        <w:spacing w:before="120" w:after="20"/>
      </w:pPr>
      <w:r>
        <w:rPr>
          <w:b/>
          <w:color w:val="0A2240"/>
          <w:sz w:val="21"/>
        </w:rPr>
        <w:t>Tenancy by the Entirety</w:t>
      </w:r>
    </w:p>
    <w:p>
      <w:pPr>
        <w:spacing w:after="80"/>
        <w:ind w:left="0"/>
      </w:pPr>
      <w:r>
        <w:rPr>
          <w:color w:val="334155"/>
          <w:sz w:val="20"/>
        </w:rPr>
        <w:t>A form of joint ownership available only to married couples in some states.</w:t>
      </w:r>
    </w:p>
    <w:p>
      <w:pPr>
        <w:spacing w:before="120" w:after="20"/>
      </w:pPr>
      <w:r>
        <w:rPr>
          <w:b/>
          <w:color w:val="0A2240"/>
          <w:sz w:val="21"/>
        </w:rPr>
        <w:t>Tenancy in Common</w:t>
      </w:r>
    </w:p>
    <w:p>
      <w:pPr>
        <w:spacing w:after="80"/>
        <w:ind w:left="0"/>
      </w:pPr>
      <w:r>
        <w:rPr>
          <w:color w:val="334155"/>
          <w:sz w:val="20"/>
        </w:rPr>
        <w:t>Co-ownership where each owner holds an individual, separately transferable share.</w:t>
      </w:r>
    </w:p>
    <w:p>
      <w:pPr>
        <w:spacing w:before="120" w:after="20"/>
      </w:pPr>
      <w:r>
        <w:rPr>
          <w:b/>
          <w:color w:val="0A2240"/>
          <w:sz w:val="21"/>
        </w:rPr>
        <w:t>Trade Fixture</w:t>
      </w:r>
    </w:p>
    <w:p>
      <w:pPr>
        <w:spacing w:after="80"/>
        <w:ind w:left="0"/>
      </w:pPr>
      <w:r>
        <w:rPr>
          <w:color w:val="334155"/>
          <w:sz w:val="20"/>
        </w:rPr>
        <w:t>Personal property installed by a commercial tenant that remains personal property and can be removed.</w:t>
      </w:r>
    </w:p>
    <w:p>
      <w:r>
        <w:rPr>
          <w:b/>
          <w:color w:val="B22234"/>
          <w:sz w:val="28"/>
        </w:rPr>
        <w:t>Real Estate Tech &amp; PropTech</w:t>
      </w:r>
    </w:p>
    <w:p>
      <w:pPr>
        <w:spacing w:before="120" w:after="20"/>
      </w:pPr>
      <w:r>
        <w:rPr>
          <w:b/>
          <w:color w:val="0A2240"/>
          <w:sz w:val="21"/>
        </w:rPr>
        <w:t>AI Lead Scoring</w:t>
      </w:r>
    </w:p>
    <w:p>
      <w:pPr>
        <w:spacing w:after="80"/>
        <w:ind w:left="0"/>
      </w:pPr>
      <w:r>
        <w:rPr>
          <w:color w:val="334155"/>
          <w:sz w:val="20"/>
        </w:rPr>
        <w:t>Machine learning models ranking prospects by likelihood to transact.</w:t>
      </w:r>
    </w:p>
    <w:p>
      <w:pPr>
        <w:spacing w:before="120" w:after="20"/>
      </w:pPr>
      <w:r>
        <w:rPr>
          <w:b/>
          <w:color w:val="0A2240"/>
          <w:sz w:val="21"/>
        </w:rPr>
        <w:t>AVM</w:t>
      </w:r>
    </w:p>
    <w:p>
      <w:pPr>
        <w:spacing w:after="80"/>
        <w:ind w:left="0"/>
      </w:pPr>
      <w:r>
        <w:rPr>
          <w:color w:val="334155"/>
          <w:sz w:val="20"/>
        </w:rPr>
        <w:t>Automated Valuation Model — software that estimates property value using public data and algorithms.</w:t>
      </w:r>
    </w:p>
    <w:p>
      <w:pPr>
        <w:spacing w:before="120" w:after="20"/>
      </w:pPr>
      <w:r>
        <w:rPr>
          <w:b/>
          <w:color w:val="0A2240"/>
          <w:sz w:val="21"/>
        </w:rPr>
        <w:t>Blockchain Title</w:t>
      </w:r>
    </w:p>
    <w:p>
      <w:pPr>
        <w:spacing w:after="80"/>
        <w:ind w:left="0"/>
      </w:pPr>
      <w:r>
        <w:rPr>
          <w:color w:val="334155"/>
          <w:sz w:val="20"/>
        </w:rPr>
        <w:t>Recording property titles on a blockchain to improve transparency and reduce fraud.</w:t>
      </w:r>
    </w:p>
    <w:p>
      <w:pPr>
        <w:spacing w:before="120" w:after="20"/>
      </w:pPr>
      <w:r>
        <w:rPr>
          <w:b/>
          <w:color w:val="0A2240"/>
          <w:sz w:val="21"/>
        </w:rPr>
        <w:t>Building Management System (BMS)</w:t>
      </w:r>
    </w:p>
    <w:p>
      <w:pPr>
        <w:spacing w:after="80"/>
        <w:ind w:left="0"/>
      </w:pPr>
      <w:r>
        <w:rPr>
          <w:color w:val="334155"/>
          <w:sz w:val="20"/>
        </w:rPr>
        <w:t>Software controlling a building's HVAC, lighting, and security from one platform.</w:t>
      </w:r>
    </w:p>
    <w:p>
      <w:pPr>
        <w:spacing w:before="120" w:after="20"/>
      </w:pPr>
      <w:r>
        <w:rPr>
          <w:b/>
          <w:color w:val="0A2240"/>
          <w:sz w:val="21"/>
        </w:rPr>
        <w:t>CRM (Real Estate)</w:t>
      </w:r>
    </w:p>
    <w:p>
      <w:pPr>
        <w:spacing w:after="80"/>
        <w:ind w:left="0"/>
      </w:pPr>
      <w:r>
        <w:rPr>
          <w:color w:val="334155"/>
          <w:sz w:val="20"/>
        </w:rPr>
        <w:t>Customer relationship management software helping agents track leads and clients.</w:t>
      </w:r>
    </w:p>
    <w:p>
      <w:pPr>
        <w:spacing w:before="120" w:after="20"/>
      </w:pPr>
      <w:r>
        <w:rPr>
          <w:b/>
          <w:color w:val="0A2240"/>
          <w:sz w:val="21"/>
        </w:rPr>
        <w:t>Digital Twin</w:t>
      </w:r>
    </w:p>
    <w:p>
      <w:pPr>
        <w:spacing w:after="80"/>
        <w:ind w:left="0"/>
      </w:pPr>
      <w:r>
        <w:rPr>
          <w:color w:val="334155"/>
          <w:sz w:val="20"/>
        </w:rPr>
        <w:t>A virtual replica of a physical property used for design, monitoring, or maintenance.</w:t>
      </w:r>
    </w:p>
    <w:p>
      <w:pPr>
        <w:spacing w:before="120" w:after="20"/>
      </w:pPr>
      <w:r>
        <w:rPr>
          <w:b/>
          <w:color w:val="0A2240"/>
          <w:sz w:val="21"/>
        </w:rPr>
        <w:t>Drone Photography</w:t>
      </w:r>
    </w:p>
    <w:p>
      <w:pPr>
        <w:spacing w:after="80"/>
        <w:ind w:left="0"/>
      </w:pPr>
      <w:r>
        <w:rPr>
          <w:color w:val="334155"/>
          <w:sz w:val="20"/>
        </w:rPr>
        <w:t>Aerial imagery for real estate marketing, particularly for large properties.</w:t>
      </w:r>
    </w:p>
    <w:p>
      <w:pPr>
        <w:spacing w:before="120" w:after="20"/>
      </w:pPr>
      <w:r>
        <w:rPr>
          <w:b/>
          <w:color w:val="0A2240"/>
          <w:sz w:val="21"/>
        </w:rPr>
        <w:t>Electronic Signatures (E-Sign)</w:t>
      </w:r>
    </w:p>
    <w:p>
      <w:pPr>
        <w:spacing w:after="80"/>
        <w:ind w:left="0"/>
      </w:pPr>
      <w:r>
        <w:rPr>
          <w:color w:val="334155"/>
          <w:sz w:val="20"/>
        </w:rPr>
        <w:t>Digital signatures legally binding under the U.S. E-SIGN Act and UETA.</w:t>
      </w:r>
    </w:p>
    <w:p>
      <w:pPr>
        <w:spacing w:before="120" w:after="20"/>
      </w:pPr>
      <w:r>
        <w:rPr>
          <w:b/>
          <w:color w:val="0A2240"/>
          <w:sz w:val="21"/>
        </w:rPr>
        <w:t>iBuyer</w:t>
      </w:r>
    </w:p>
    <w:p>
      <w:pPr>
        <w:spacing w:after="80"/>
        <w:ind w:left="0"/>
      </w:pPr>
      <w:r>
        <w:rPr>
          <w:color w:val="334155"/>
          <w:sz w:val="20"/>
        </w:rPr>
        <w:t>A company that uses algorithms to make instant cash offers on homes, then resells them.</w:t>
      </w:r>
    </w:p>
    <w:p>
      <w:pPr>
        <w:spacing w:before="120" w:after="20"/>
      </w:pPr>
      <w:r>
        <w:rPr>
          <w:b/>
          <w:color w:val="0A2240"/>
          <w:sz w:val="21"/>
        </w:rPr>
        <w:t>Lead Generation Platform</w:t>
      </w:r>
    </w:p>
    <w:p>
      <w:pPr>
        <w:spacing w:after="80"/>
        <w:ind w:left="0"/>
      </w:pPr>
      <w:r>
        <w:rPr>
          <w:color w:val="334155"/>
          <w:sz w:val="20"/>
        </w:rPr>
        <w:t>Software systems generating buyer/seller leads for real estate agents.</w:t>
      </w:r>
    </w:p>
    <w:p>
      <w:pPr>
        <w:spacing w:before="120" w:after="20"/>
      </w:pPr>
      <w:r>
        <w:rPr>
          <w:b/>
          <w:color w:val="0A2240"/>
          <w:sz w:val="21"/>
        </w:rPr>
        <w:t>Listing Syndication</w:t>
      </w:r>
    </w:p>
    <w:p>
      <w:pPr>
        <w:spacing w:after="80"/>
        <w:ind w:left="0"/>
      </w:pPr>
      <w:r>
        <w:rPr>
          <w:color w:val="334155"/>
          <w:sz w:val="20"/>
        </w:rPr>
        <w:t>Distributing a property listing to multiple third-party portals automatically.</w:t>
      </w:r>
    </w:p>
    <w:p>
      <w:pPr>
        <w:spacing w:before="120" w:after="20"/>
      </w:pPr>
      <w:r>
        <w:rPr>
          <w:b/>
          <w:color w:val="0A2240"/>
          <w:sz w:val="21"/>
        </w:rPr>
        <w:t>Matterport</w:t>
      </w:r>
    </w:p>
    <w:p>
      <w:pPr>
        <w:spacing w:after="80"/>
        <w:ind w:left="0"/>
      </w:pPr>
      <w:r>
        <w:rPr>
          <w:color w:val="334155"/>
          <w:sz w:val="20"/>
        </w:rPr>
        <w:t>A 3D scanning platform creating walkable virtual tours of properties.</w:t>
      </w:r>
    </w:p>
    <w:p>
      <w:pPr>
        <w:spacing w:before="120" w:after="20"/>
      </w:pPr>
      <w:r>
        <w:rPr>
          <w:b/>
          <w:color w:val="0A2240"/>
          <w:sz w:val="21"/>
        </w:rPr>
        <w:t>Predictive Analytics</w:t>
      </w:r>
    </w:p>
    <w:p>
      <w:pPr>
        <w:spacing w:after="80"/>
        <w:ind w:left="0"/>
      </w:pPr>
      <w:r>
        <w:rPr>
          <w:color w:val="334155"/>
          <w:sz w:val="20"/>
        </w:rPr>
        <w:t>Models forecasting market trends, property values, or tenant behavior.</w:t>
      </w:r>
    </w:p>
    <w:p>
      <w:pPr>
        <w:spacing w:before="120" w:after="20"/>
      </w:pPr>
      <w:r>
        <w:rPr>
          <w:b/>
          <w:color w:val="0A2240"/>
          <w:sz w:val="21"/>
        </w:rPr>
        <w:t>PropTech</w:t>
      </w:r>
    </w:p>
    <w:p>
      <w:pPr>
        <w:spacing w:after="80"/>
        <w:ind w:left="0"/>
      </w:pPr>
      <w:r>
        <w:rPr>
          <w:color w:val="334155"/>
          <w:sz w:val="20"/>
        </w:rPr>
        <w:t>Technology serving the real estate industry, from listings platforms to building automation.</w:t>
      </w:r>
    </w:p>
    <w:p>
      <w:pPr>
        <w:spacing w:before="120" w:after="20"/>
      </w:pPr>
      <w:r>
        <w:rPr>
          <w:b/>
          <w:color w:val="0A2240"/>
          <w:sz w:val="21"/>
        </w:rPr>
        <w:t>Smart Building Sensors</w:t>
      </w:r>
    </w:p>
    <w:p>
      <w:pPr>
        <w:spacing w:after="80"/>
        <w:ind w:left="0"/>
      </w:pPr>
      <w:r>
        <w:rPr>
          <w:color w:val="334155"/>
          <w:sz w:val="20"/>
        </w:rPr>
        <w:t>IoT devices monitoring occupancy, temperature, and energy use in real time.</w:t>
      </w:r>
    </w:p>
    <w:p>
      <w:pPr>
        <w:spacing w:before="120" w:after="20"/>
      </w:pPr>
      <w:r>
        <w:rPr>
          <w:b/>
          <w:color w:val="0A2240"/>
          <w:sz w:val="21"/>
        </w:rPr>
        <w:t>Smart Home</w:t>
      </w:r>
    </w:p>
    <w:p>
      <w:pPr>
        <w:spacing w:after="80"/>
        <w:ind w:left="0"/>
      </w:pPr>
      <w:r>
        <w:rPr>
          <w:color w:val="334155"/>
          <w:sz w:val="20"/>
        </w:rPr>
        <w:t>A home with connected devices for lighting, security, climate, and appliances.</w:t>
      </w:r>
    </w:p>
    <w:p>
      <w:pPr>
        <w:spacing w:before="120" w:after="20"/>
      </w:pPr>
      <w:r>
        <w:rPr>
          <w:b/>
          <w:color w:val="0A2240"/>
          <w:sz w:val="21"/>
        </w:rPr>
        <w:t>Smart Lock</w:t>
      </w:r>
    </w:p>
    <w:p>
      <w:pPr>
        <w:spacing w:after="80"/>
        <w:ind w:left="0"/>
      </w:pPr>
      <w:r>
        <w:rPr>
          <w:color w:val="334155"/>
          <w:sz w:val="20"/>
        </w:rPr>
        <w:t>An electronic lock controllable via phone or keypad, common in short-term rentals.</w:t>
      </w:r>
    </w:p>
    <w:p>
      <w:pPr>
        <w:spacing w:before="120" w:after="20"/>
      </w:pPr>
      <w:r>
        <w:rPr>
          <w:b/>
          <w:color w:val="0A2240"/>
          <w:sz w:val="21"/>
        </w:rPr>
        <w:t>Tenant Experience Platform</w:t>
      </w:r>
    </w:p>
    <w:p>
      <w:pPr>
        <w:spacing w:after="80"/>
        <w:ind w:left="0"/>
      </w:pPr>
      <w:r>
        <w:rPr>
          <w:color w:val="334155"/>
          <w:sz w:val="20"/>
        </w:rPr>
        <w:t>Software helping commercial tenants access amenities, services, and communications.</w:t>
      </w:r>
    </w:p>
    <w:p>
      <w:pPr>
        <w:spacing w:before="120" w:after="20"/>
      </w:pPr>
      <w:r>
        <w:rPr>
          <w:b/>
          <w:color w:val="0A2240"/>
          <w:sz w:val="21"/>
        </w:rPr>
        <w:t>Tokenization</w:t>
      </w:r>
    </w:p>
    <w:p>
      <w:pPr>
        <w:spacing w:after="80"/>
        <w:ind w:left="0"/>
      </w:pPr>
      <w:r>
        <w:rPr>
          <w:color w:val="334155"/>
          <w:sz w:val="20"/>
        </w:rPr>
        <w:t>Representing fractional real estate ownership as digital tokens on a blockchain.</w:t>
      </w:r>
    </w:p>
    <w:p>
      <w:pPr>
        <w:spacing w:before="120" w:after="20"/>
      </w:pPr>
      <w:r>
        <w:rPr>
          <w:b/>
          <w:color w:val="0A2240"/>
          <w:sz w:val="21"/>
        </w:rPr>
        <w:t>Virtual Staging</w:t>
      </w:r>
    </w:p>
    <w:p>
      <w:pPr>
        <w:spacing w:after="80"/>
        <w:ind w:left="0"/>
      </w:pPr>
      <w:r>
        <w:rPr>
          <w:color w:val="334155"/>
          <w:sz w:val="20"/>
        </w:rPr>
        <w:t>Software-generated furniture and decor added to listing photos digitally.</w:t>
      </w:r>
    </w:p>
    <w:p>
      <w:pPr>
        <w:spacing w:before="120" w:after="20"/>
      </w:pPr>
      <w:r>
        <w:rPr>
          <w:b/>
          <w:color w:val="0A2240"/>
          <w:sz w:val="21"/>
        </w:rPr>
        <w:t>Virtual Tour</w:t>
      </w:r>
    </w:p>
    <w:p>
      <w:pPr>
        <w:spacing w:after="80"/>
        <w:ind w:left="0"/>
      </w:pPr>
      <w:r>
        <w:rPr>
          <w:color w:val="334155"/>
          <w:sz w:val="20"/>
        </w:rPr>
        <w:t>An interactive online walkthrough of a property using 3D or 360° imagery.</w:t>
      </w:r>
    </w:p>
    <w:p>
      <w:r>
        <w:rPr>
          <w:b/>
          <w:color w:val="B22234"/>
          <w:sz w:val="28"/>
        </w:rPr>
        <w:t>REITs &amp; Public Real Estate</w:t>
      </w:r>
    </w:p>
    <w:p>
      <w:pPr>
        <w:spacing w:before="120" w:after="20"/>
      </w:pPr>
      <w:r>
        <w:rPr>
          <w:b/>
          <w:color w:val="0A2240"/>
          <w:sz w:val="21"/>
        </w:rPr>
        <w:t>AFFO</w:t>
      </w:r>
    </w:p>
    <w:p>
      <w:pPr>
        <w:spacing w:after="80"/>
        <w:ind w:left="0"/>
      </w:pPr>
      <w:r>
        <w:rPr>
          <w:color w:val="334155"/>
          <w:sz w:val="20"/>
        </w:rPr>
        <w:t>Adjusted Funds From Operations — FFO minus recurring capital expenditures.</w:t>
      </w:r>
    </w:p>
    <w:p>
      <w:pPr>
        <w:spacing w:before="120" w:after="20"/>
      </w:pPr>
      <w:r>
        <w:rPr>
          <w:b/>
          <w:color w:val="0A2240"/>
          <w:sz w:val="21"/>
        </w:rPr>
        <w:t>Dividend Yield</w:t>
      </w:r>
    </w:p>
    <w:p>
      <w:pPr>
        <w:spacing w:after="80"/>
        <w:ind w:left="0"/>
      </w:pPr>
      <w:r>
        <w:rPr>
          <w:color w:val="334155"/>
          <w:sz w:val="20"/>
        </w:rPr>
        <w:t>Annual dividend per share divided by stock price.</w:t>
      </w:r>
    </w:p>
    <w:p>
      <w:pPr>
        <w:spacing w:before="120" w:after="20"/>
      </w:pPr>
      <w:r>
        <w:rPr>
          <w:b/>
          <w:color w:val="0A2240"/>
          <w:sz w:val="21"/>
        </w:rPr>
        <w:t>DownREIT</w:t>
      </w:r>
    </w:p>
    <w:p>
      <w:pPr>
        <w:spacing w:after="80"/>
        <w:ind w:left="0"/>
      </w:pPr>
      <w:r>
        <w:rPr>
          <w:color w:val="334155"/>
          <w:sz w:val="20"/>
        </w:rPr>
        <w:t>A REIT structure with separate partnerships for individual properties.</w:t>
      </w:r>
    </w:p>
    <w:p>
      <w:pPr>
        <w:spacing w:before="120" w:after="20"/>
      </w:pPr>
      <w:r>
        <w:rPr>
          <w:b/>
          <w:color w:val="0A2240"/>
          <w:sz w:val="21"/>
        </w:rPr>
        <w:t>Equity REIT</w:t>
      </w:r>
    </w:p>
    <w:p>
      <w:pPr>
        <w:spacing w:after="80"/>
        <w:ind w:left="0"/>
      </w:pPr>
      <w:r>
        <w:rPr>
          <w:color w:val="334155"/>
          <w:sz w:val="20"/>
        </w:rPr>
        <w:t>A REIT that directly owns and operates income-producing real estate.</w:t>
      </w:r>
    </w:p>
    <w:p>
      <w:pPr>
        <w:spacing w:before="120" w:after="20"/>
      </w:pPr>
      <w:r>
        <w:rPr>
          <w:b/>
          <w:color w:val="0A2240"/>
          <w:sz w:val="21"/>
        </w:rPr>
        <w:t>External Management</w:t>
      </w:r>
    </w:p>
    <w:p>
      <w:pPr>
        <w:spacing w:after="80"/>
        <w:ind w:left="0"/>
      </w:pPr>
      <w:r>
        <w:rPr>
          <w:color w:val="334155"/>
          <w:sz w:val="20"/>
        </w:rPr>
        <w:t>REIT structure where management services are provided by a separate company.</w:t>
      </w:r>
    </w:p>
    <w:p>
      <w:pPr>
        <w:spacing w:before="120" w:after="20"/>
      </w:pPr>
      <w:r>
        <w:rPr>
          <w:b/>
          <w:color w:val="0A2240"/>
          <w:sz w:val="21"/>
        </w:rPr>
        <w:t>FFO</w:t>
      </w:r>
    </w:p>
    <w:p>
      <w:pPr>
        <w:spacing w:after="80"/>
        <w:ind w:left="0"/>
      </w:pPr>
      <w:r>
        <w:rPr>
          <w:color w:val="334155"/>
          <w:sz w:val="20"/>
        </w:rPr>
        <w:t>Funds From Operations — a REIT's profitability measure that adds depreciation back to net income.</w:t>
      </w:r>
    </w:p>
    <w:p>
      <w:pPr>
        <w:spacing w:before="120" w:after="20"/>
      </w:pPr>
      <w:r>
        <w:rPr>
          <w:b/>
          <w:color w:val="0A2240"/>
          <w:sz w:val="21"/>
        </w:rPr>
        <w:t>Internal Management</w:t>
      </w:r>
    </w:p>
    <w:p>
      <w:pPr>
        <w:spacing w:after="80"/>
        <w:ind w:left="0"/>
      </w:pPr>
      <w:r>
        <w:rPr>
          <w:color w:val="334155"/>
          <w:sz w:val="20"/>
        </w:rPr>
        <w:t>REIT structure where the management team is employed directly by the REIT.</w:t>
      </w:r>
    </w:p>
    <w:p>
      <w:pPr>
        <w:spacing w:before="120" w:after="20"/>
      </w:pPr>
      <w:r>
        <w:rPr>
          <w:b/>
          <w:color w:val="0A2240"/>
          <w:sz w:val="21"/>
        </w:rPr>
        <w:t>Mortgage REIT (mREIT)</w:t>
      </w:r>
    </w:p>
    <w:p>
      <w:pPr>
        <w:spacing w:after="80"/>
        <w:ind w:left="0"/>
      </w:pPr>
      <w:r>
        <w:rPr>
          <w:color w:val="334155"/>
          <w:sz w:val="20"/>
        </w:rPr>
        <w:t>A REIT that invests in mortgages and mortgage-backed securities.</w:t>
      </w:r>
    </w:p>
    <w:p>
      <w:pPr>
        <w:spacing w:before="120" w:after="20"/>
      </w:pPr>
      <w:r>
        <w:rPr>
          <w:b/>
          <w:color w:val="0A2240"/>
          <w:sz w:val="21"/>
        </w:rPr>
        <w:t>NAV Premium/Discount</w:t>
      </w:r>
    </w:p>
    <w:p>
      <w:pPr>
        <w:spacing w:after="80"/>
        <w:ind w:left="0"/>
      </w:pPr>
      <w:r>
        <w:rPr>
          <w:color w:val="334155"/>
          <w:sz w:val="20"/>
        </w:rPr>
        <w:t>The gap between a REIT's stock price and its underlying NAV.</w:t>
      </w:r>
    </w:p>
    <w:p>
      <w:pPr>
        <w:spacing w:before="120" w:after="20"/>
      </w:pPr>
      <w:r>
        <w:rPr>
          <w:b/>
          <w:color w:val="0A2240"/>
          <w:sz w:val="21"/>
        </w:rPr>
        <w:t>Net Asset Value (NAV)</w:t>
      </w:r>
    </w:p>
    <w:p>
      <w:pPr>
        <w:spacing w:after="80"/>
        <w:ind w:left="0"/>
      </w:pPr>
      <w:r>
        <w:rPr>
          <w:color w:val="334155"/>
          <w:sz w:val="20"/>
        </w:rPr>
        <w:t>A REIT's underlying property value minus debt — used to compare to its stock price.</w:t>
      </w:r>
    </w:p>
    <w:p>
      <w:pPr>
        <w:spacing w:before="120" w:after="20"/>
      </w:pPr>
      <w:r>
        <w:rPr>
          <w:b/>
          <w:color w:val="0A2240"/>
          <w:sz w:val="21"/>
        </w:rPr>
        <w:t>Payout Ratio</w:t>
      </w:r>
    </w:p>
    <w:p>
      <w:pPr>
        <w:spacing w:after="80"/>
        <w:ind w:left="0"/>
      </w:pPr>
      <w:r>
        <w:rPr>
          <w:color w:val="334155"/>
          <w:sz w:val="20"/>
        </w:rPr>
        <w:t>Percentage of FFO or AFFO a REIT distributes as dividends.</w:t>
      </w:r>
    </w:p>
    <w:p>
      <w:pPr>
        <w:spacing w:before="120" w:after="20"/>
      </w:pPr>
      <w:r>
        <w:rPr>
          <w:b/>
          <w:color w:val="0A2240"/>
          <w:sz w:val="21"/>
        </w:rPr>
        <w:t>Private REIT</w:t>
      </w:r>
    </w:p>
    <w:p>
      <w:pPr>
        <w:spacing w:after="80"/>
        <w:ind w:left="0"/>
      </w:pPr>
      <w:r>
        <w:rPr>
          <w:color w:val="334155"/>
          <w:sz w:val="20"/>
        </w:rPr>
        <w:t>A REIT not registered with the SEC and limited to accredited investors.</w:t>
      </w:r>
    </w:p>
    <w:p>
      <w:pPr>
        <w:spacing w:before="120" w:after="20"/>
      </w:pPr>
      <w:r>
        <w:rPr>
          <w:b/>
          <w:color w:val="0A2240"/>
          <w:sz w:val="21"/>
        </w:rPr>
        <w:t>Public Non-Traded REIT</w:t>
      </w:r>
    </w:p>
    <w:p>
      <w:pPr>
        <w:spacing w:after="80"/>
        <w:ind w:left="0"/>
      </w:pPr>
      <w:r>
        <w:rPr>
          <w:color w:val="334155"/>
          <w:sz w:val="20"/>
        </w:rPr>
        <w:t>A REIT registered with the SEC but not listed on a public exchange.</w:t>
      </w:r>
    </w:p>
    <w:p>
      <w:pPr>
        <w:spacing w:before="120" w:after="20"/>
      </w:pPr>
      <w:r>
        <w:rPr>
          <w:b/>
          <w:color w:val="0A2240"/>
          <w:sz w:val="21"/>
        </w:rPr>
        <w:t>Re-leveraging</w:t>
      </w:r>
    </w:p>
    <w:p>
      <w:pPr>
        <w:spacing w:after="80"/>
        <w:ind w:left="0"/>
      </w:pPr>
      <w:r>
        <w:rPr>
          <w:color w:val="334155"/>
          <w:sz w:val="20"/>
        </w:rPr>
        <w:t>Adding new debt to a REIT's balance sheet after deleveraging.</w:t>
      </w:r>
    </w:p>
    <w:p>
      <w:pPr>
        <w:spacing w:before="120" w:after="20"/>
      </w:pPr>
      <w:r>
        <w:rPr>
          <w:b/>
          <w:color w:val="0A2240"/>
          <w:sz w:val="21"/>
        </w:rPr>
        <w:t>REIT</w:t>
      </w:r>
    </w:p>
    <w:p>
      <w:pPr>
        <w:spacing w:after="80"/>
        <w:ind w:left="0"/>
      </w:pPr>
      <w:r>
        <w:rPr>
          <w:color w:val="334155"/>
          <w:sz w:val="20"/>
        </w:rPr>
        <w:t>Real Estate Investment Trust — a company that owns or finances real estate and trades like a stock.</w:t>
      </w:r>
    </w:p>
    <w:p>
      <w:pPr>
        <w:spacing w:before="120" w:after="20"/>
      </w:pPr>
      <w:r>
        <w:rPr>
          <w:b/>
          <w:color w:val="0A2240"/>
          <w:sz w:val="21"/>
        </w:rPr>
        <w:t>REIT Status</w:t>
      </w:r>
    </w:p>
    <w:p>
      <w:pPr>
        <w:spacing w:after="80"/>
        <w:ind w:left="0"/>
      </w:pPr>
      <w:r>
        <w:rPr>
          <w:color w:val="334155"/>
          <w:sz w:val="20"/>
        </w:rPr>
        <w:t>IRS tax-advantaged designation requiring 90% distribution of taxable income and at least 75% real estate assets.</w:t>
      </w:r>
    </w:p>
    <w:p>
      <w:pPr>
        <w:spacing w:before="120" w:after="20"/>
      </w:pPr>
      <w:r>
        <w:rPr>
          <w:b/>
          <w:color w:val="0A2240"/>
          <w:sz w:val="21"/>
        </w:rPr>
        <w:t>Same-Store NOI</w:t>
      </w:r>
    </w:p>
    <w:p>
      <w:pPr>
        <w:spacing w:after="80"/>
        <w:ind w:left="0"/>
      </w:pPr>
      <w:r>
        <w:rPr>
          <w:color w:val="334155"/>
          <w:sz w:val="20"/>
        </w:rPr>
        <w:t>NOI growth on properties owned for at least a year — a key REIT performance metric.</w:t>
      </w:r>
    </w:p>
    <w:p>
      <w:pPr>
        <w:spacing w:before="120" w:after="20"/>
      </w:pPr>
      <w:r>
        <w:rPr>
          <w:b/>
          <w:color w:val="0A2240"/>
          <w:sz w:val="21"/>
        </w:rPr>
        <w:t>Special Dividend</w:t>
      </w:r>
    </w:p>
    <w:p>
      <w:pPr>
        <w:spacing w:after="80"/>
        <w:ind w:left="0"/>
      </w:pPr>
      <w:r>
        <w:rPr>
          <w:color w:val="334155"/>
          <w:sz w:val="20"/>
        </w:rPr>
        <w:t>An extraordinary one-time dividend, often from a property sale.</w:t>
      </w:r>
    </w:p>
    <w:p>
      <w:pPr>
        <w:spacing w:before="120" w:after="20"/>
      </w:pPr>
      <w:r>
        <w:rPr>
          <w:b/>
          <w:color w:val="0A2240"/>
          <w:sz w:val="21"/>
        </w:rPr>
        <w:t>UPREIT Structure</w:t>
      </w:r>
    </w:p>
    <w:p>
      <w:pPr>
        <w:spacing w:after="80"/>
        <w:ind w:left="0"/>
      </w:pPr>
      <w:r>
        <w:rPr>
          <w:color w:val="334155"/>
          <w:sz w:val="20"/>
        </w:rPr>
        <w:t>Umbrella Partnership REIT — lets owners contribute property in exchange for OP units tax-deferred.</w:t>
      </w:r>
    </w:p>
    <w:p>
      <w:r>
        <w:rPr>
          <w:b/>
          <w:color w:val="B22234"/>
          <w:sz w:val="28"/>
        </w:rPr>
        <w:t>SBA &amp; Government Lending</w:t>
      </w:r>
    </w:p>
    <w:p>
      <w:pPr>
        <w:spacing w:before="120" w:after="20"/>
      </w:pPr>
      <w:r>
        <w:rPr>
          <w:b/>
          <w:color w:val="0A2240"/>
          <w:sz w:val="21"/>
        </w:rPr>
        <w:t>Business Plan</w:t>
      </w:r>
    </w:p>
    <w:p>
      <w:pPr>
        <w:spacing w:after="80"/>
        <w:ind w:left="0"/>
      </w:pPr>
      <w:r>
        <w:rPr>
          <w:color w:val="334155"/>
          <w:sz w:val="20"/>
        </w:rPr>
        <w:t>A required document detailing the business's strategy, financials, and operations.</w:t>
      </w:r>
    </w:p>
    <w:p>
      <w:pPr>
        <w:spacing w:before="120" w:after="20"/>
      </w:pPr>
      <w:r>
        <w:rPr>
          <w:b/>
          <w:color w:val="0A2240"/>
          <w:sz w:val="21"/>
        </w:rPr>
        <w:t>Community Advantage Loan</w:t>
      </w:r>
    </w:p>
    <w:p>
      <w:pPr>
        <w:spacing w:after="80"/>
        <w:ind w:left="0"/>
      </w:pPr>
      <w:r>
        <w:rPr>
          <w:color w:val="334155"/>
          <w:sz w:val="20"/>
        </w:rPr>
        <w:t>An SBA 7(a) loan available to underserved small businesses through mission-based lenders.</w:t>
      </w:r>
    </w:p>
    <w:p>
      <w:pPr>
        <w:spacing w:before="120" w:after="20"/>
      </w:pPr>
      <w:r>
        <w:rPr>
          <w:b/>
          <w:color w:val="0A2240"/>
          <w:sz w:val="21"/>
        </w:rPr>
        <w:t>Eligibility Requirements (SBA)</w:t>
      </w:r>
    </w:p>
    <w:p>
      <w:pPr>
        <w:spacing w:after="80"/>
        <w:ind w:left="0"/>
      </w:pPr>
      <w:r>
        <w:rPr>
          <w:color w:val="334155"/>
          <w:sz w:val="20"/>
        </w:rPr>
        <w:t>Standards a business must meet for SBA loan programs — size, type, and use of proceeds.</w:t>
      </w:r>
    </w:p>
    <w:p>
      <w:pPr>
        <w:spacing w:before="120" w:after="20"/>
      </w:pPr>
      <w:r>
        <w:rPr>
          <w:b/>
          <w:color w:val="0A2240"/>
          <w:sz w:val="21"/>
        </w:rPr>
        <w:t>Microloan</w:t>
      </w:r>
    </w:p>
    <w:p>
      <w:pPr>
        <w:spacing w:after="80"/>
        <w:ind w:left="0"/>
      </w:pPr>
      <w:r>
        <w:rPr>
          <w:color w:val="334155"/>
          <w:sz w:val="20"/>
        </w:rPr>
        <w:t>A small loan (typically under $50K) for startups and small businesses, often via nonprofit lenders.</w:t>
      </w:r>
    </w:p>
    <w:p>
      <w:pPr>
        <w:spacing w:before="120" w:after="20"/>
      </w:pPr>
      <w:r>
        <w:rPr>
          <w:b/>
          <w:color w:val="0A2240"/>
          <w:sz w:val="21"/>
        </w:rPr>
        <w:t>Owner-Occupied Requirement</w:t>
      </w:r>
    </w:p>
    <w:p>
      <w:pPr>
        <w:spacing w:after="80"/>
        <w:ind w:left="0"/>
      </w:pPr>
      <w:r>
        <w:rPr>
          <w:color w:val="334155"/>
          <w:sz w:val="20"/>
        </w:rPr>
        <w:t>SBA real estate loans require business owners to occupy at least 51% of the space.</w:t>
      </w:r>
    </w:p>
    <w:p>
      <w:pPr>
        <w:spacing w:before="120" w:after="20"/>
      </w:pPr>
      <w:r>
        <w:rPr>
          <w:b/>
          <w:color w:val="0A2240"/>
          <w:sz w:val="21"/>
        </w:rPr>
        <w:t>Personal Guarantee</w:t>
      </w:r>
    </w:p>
    <w:p>
      <w:pPr>
        <w:spacing w:after="80"/>
        <w:ind w:left="0"/>
      </w:pPr>
      <w:r>
        <w:rPr>
          <w:color w:val="334155"/>
          <w:sz w:val="20"/>
        </w:rPr>
        <w:t>A business owner's pledge of personal assets to back a business loan.</w:t>
      </w:r>
    </w:p>
    <w:p>
      <w:pPr>
        <w:spacing w:before="120" w:after="20"/>
      </w:pPr>
      <w:r>
        <w:rPr>
          <w:b/>
          <w:color w:val="0A2240"/>
          <w:sz w:val="21"/>
        </w:rPr>
        <w:t>Preferred Lender Program (PLP)</w:t>
      </w:r>
    </w:p>
    <w:p>
      <w:pPr>
        <w:spacing w:after="80"/>
        <w:ind w:left="0"/>
      </w:pPr>
      <w:r>
        <w:rPr>
          <w:color w:val="334155"/>
          <w:sz w:val="20"/>
        </w:rPr>
        <w:t>An SBA designation allowing approved lenders to make 7(a) decisions in-house.</w:t>
      </w:r>
    </w:p>
    <w:p>
      <w:pPr>
        <w:spacing w:before="120" w:after="20"/>
      </w:pPr>
      <w:r>
        <w:rPr>
          <w:b/>
          <w:color w:val="0A2240"/>
          <w:sz w:val="21"/>
        </w:rPr>
        <w:t>SBA 504 Loan</w:t>
      </w:r>
    </w:p>
    <w:p>
      <w:pPr>
        <w:spacing w:after="80"/>
        <w:ind w:left="0"/>
      </w:pPr>
      <w:r>
        <w:rPr>
          <w:color w:val="334155"/>
          <w:sz w:val="20"/>
        </w:rPr>
        <w:t>An SBA program for fixed-asset purchases like real estate or major equipment.</w:t>
      </w:r>
    </w:p>
    <w:p>
      <w:pPr>
        <w:spacing w:before="120" w:after="20"/>
      </w:pPr>
      <w:r>
        <w:rPr>
          <w:b/>
          <w:color w:val="0A2240"/>
          <w:sz w:val="21"/>
        </w:rPr>
        <w:t>SBA 7(a) Loan</w:t>
      </w:r>
    </w:p>
    <w:p>
      <w:pPr>
        <w:spacing w:after="80"/>
        <w:ind w:left="0"/>
      </w:pPr>
      <w:r>
        <w:rPr>
          <w:color w:val="334155"/>
          <w:sz w:val="20"/>
        </w:rPr>
        <w:t>The SBA's most common loan program, used for working capital, equipment, or real estate.</w:t>
      </w:r>
    </w:p>
    <w:p>
      <w:pPr>
        <w:spacing w:before="120" w:after="20"/>
      </w:pPr>
      <w:r>
        <w:rPr>
          <w:b/>
          <w:color w:val="0A2240"/>
          <w:sz w:val="21"/>
        </w:rPr>
        <w:t>SBA CDC</w:t>
      </w:r>
    </w:p>
    <w:p>
      <w:pPr>
        <w:spacing w:after="80"/>
        <w:ind w:left="0"/>
      </w:pPr>
      <w:r>
        <w:rPr>
          <w:color w:val="334155"/>
          <w:sz w:val="20"/>
        </w:rPr>
        <w:t>A Certified Development Company — a nonprofit that originates SBA 504 loans alongside a bank.</w:t>
      </w:r>
    </w:p>
    <w:p>
      <w:pPr>
        <w:spacing w:before="120" w:after="20"/>
      </w:pPr>
      <w:r>
        <w:rPr>
          <w:b/>
          <w:color w:val="0A2240"/>
          <w:sz w:val="21"/>
        </w:rPr>
        <w:t>SBA Disaster Loan</w:t>
      </w:r>
    </w:p>
    <w:p>
      <w:pPr>
        <w:spacing w:after="80"/>
        <w:ind w:left="0"/>
      </w:pPr>
      <w:r>
        <w:rPr>
          <w:color w:val="334155"/>
          <w:sz w:val="20"/>
        </w:rPr>
        <w:t>Low-interest loans for businesses impacted by declared disasters.</w:t>
      </w:r>
    </w:p>
    <w:p>
      <w:pPr>
        <w:spacing w:before="120" w:after="20"/>
      </w:pPr>
      <w:r>
        <w:rPr>
          <w:b/>
          <w:color w:val="0A2240"/>
          <w:sz w:val="21"/>
        </w:rPr>
        <w:t>SBA Express Loan</w:t>
      </w:r>
    </w:p>
    <w:p>
      <w:pPr>
        <w:spacing w:after="80"/>
        <w:ind w:left="0"/>
      </w:pPr>
      <w:r>
        <w:rPr>
          <w:color w:val="334155"/>
          <w:sz w:val="20"/>
        </w:rPr>
        <w:t>A streamlined 7(a) loan with 36-hour SBA decision and lower max loan amount.</w:t>
      </w:r>
    </w:p>
    <w:p>
      <w:pPr>
        <w:spacing w:before="120" w:after="20"/>
      </w:pPr>
      <w:r>
        <w:rPr>
          <w:b/>
          <w:color w:val="0A2240"/>
          <w:sz w:val="21"/>
        </w:rPr>
        <w:t>SBA Guaranty Fee</w:t>
      </w:r>
    </w:p>
    <w:p>
      <w:pPr>
        <w:spacing w:after="80"/>
        <w:ind w:left="0"/>
      </w:pPr>
      <w:r>
        <w:rPr>
          <w:color w:val="334155"/>
          <w:sz w:val="20"/>
        </w:rPr>
        <w:t>A fee paid to the SBA based on the guaranteed portion of a loan.</w:t>
      </w:r>
    </w:p>
    <w:p>
      <w:pPr>
        <w:spacing w:before="120" w:after="20"/>
      </w:pPr>
      <w:r>
        <w:rPr>
          <w:b/>
          <w:color w:val="0A2240"/>
          <w:sz w:val="21"/>
        </w:rPr>
        <w:t>SBA Loan</w:t>
      </w:r>
    </w:p>
    <w:p>
      <w:pPr>
        <w:spacing w:after="80"/>
        <w:ind w:left="0"/>
      </w:pPr>
      <w:r>
        <w:rPr>
          <w:color w:val="334155"/>
          <w:sz w:val="20"/>
        </w:rPr>
        <w:t>A small-business loan partially guaranteed by the U.S. Small Business Administration.</w:t>
      </w:r>
    </w:p>
    <w:p>
      <w:pPr>
        <w:spacing w:before="120" w:after="20"/>
      </w:pPr>
      <w:r>
        <w:rPr>
          <w:b/>
          <w:color w:val="0A2240"/>
          <w:sz w:val="21"/>
        </w:rPr>
        <w:t>SBA Loan Limit</w:t>
      </w:r>
    </w:p>
    <w:p>
      <w:pPr>
        <w:spacing w:after="80"/>
        <w:ind w:left="0"/>
      </w:pPr>
      <w:r>
        <w:rPr>
          <w:color w:val="334155"/>
          <w:sz w:val="20"/>
        </w:rPr>
        <w:t>The maximum amount a single business can borrow — currently $5M for 7(a) loans.</w:t>
      </w:r>
    </w:p>
    <w:p>
      <w:pPr>
        <w:spacing w:before="120" w:after="20"/>
      </w:pPr>
      <w:r>
        <w:rPr>
          <w:b/>
          <w:color w:val="0A2240"/>
          <w:sz w:val="21"/>
        </w:rPr>
        <w:t>SBA Use of Proceeds</w:t>
      </w:r>
    </w:p>
    <w:p>
      <w:pPr>
        <w:spacing w:after="80"/>
        <w:ind w:left="0"/>
      </w:pPr>
      <w:r>
        <w:rPr>
          <w:color w:val="334155"/>
          <w:sz w:val="20"/>
        </w:rPr>
        <w:t>Allowed loan purposes including working capital, equipment, real estate, and refinancing.</w:t>
      </w:r>
    </w:p>
    <w:p>
      <w:pPr>
        <w:spacing w:before="120" w:after="20"/>
      </w:pPr>
      <w:r>
        <w:rPr>
          <w:b/>
          <w:color w:val="0A2240"/>
          <w:sz w:val="21"/>
        </w:rPr>
        <w:t>Standby Agreement (SBA)</w:t>
      </w:r>
    </w:p>
    <w:p>
      <w:pPr>
        <w:spacing w:after="80"/>
        <w:ind w:left="0"/>
      </w:pPr>
      <w:r>
        <w:rPr>
          <w:color w:val="334155"/>
          <w:sz w:val="20"/>
        </w:rPr>
        <w:t>A subordination agreement keeping personal loans behind SBA debt.</w:t>
      </w:r>
    </w:p>
    <w:p>
      <w:pPr>
        <w:spacing w:before="120" w:after="20"/>
      </w:pPr>
      <w:r>
        <w:rPr>
          <w:b/>
          <w:color w:val="0A2240"/>
          <w:sz w:val="21"/>
        </w:rPr>
        <w:t>USDA Business Loan</w:t>
      </w:r>
    </w:p>
    <w:p>
      <w:pPr>
        <w:spacing w:after="80"/>
        <w:ind w:left="0"/>
      </w:pPr>
      <w:r>
        <w:rPr>
          <w:color w:val="334155"/>
          <w:sz w:val="20"/>
        </w:rPr>
        <w:t>Loans backed by the USDA to support business growth in rural areas.</w:t>
      </w:r>
    </w:p>
    <w:p>
      <w:r>
        <w:rPr>
          <w:b/>
          <w:color w:val="B22234"/>
          <w:sz w:val="28"/>
        </w:rPr>
        <w:t>Specialized &amp; Niche Real Estate</w:t>
      </w:r>
    </w:p>
    <w:p>
      <w:pPr>
        <w:spacing w:before="120" w:after="20"/>
      </w:pPr>
      <w:r>
        <w:rPr>
          <w:b/>
          <w:color w:val="0A2240"/>
          <w:sz w:val="21"/>
        </w:rPr>
        <w:t>Build-for-Rent Community</w:t>
      </w:r>
    </w:p>
    <w:p>
      <w:pPr>
        <w:spacing w:after="80"/>
        <w:ind w:left="0"/>
      </w:pPr>
      <w:r>
        <w:rPr>
          <w:color w:val="334155"/>
          <w:sz w:val="20"/>
        </w:rPr>
        <w:t>A community of newly constructed homes designed and operated as rentals.</w:t>
      </w:r>
    </w:p>
    <w:p>
      <w:pPr>
        <w:spacing w:before="120" w:after="20"/>
      </w:pPr>
      <w:r>
        <w:rPr>
          <w:b/>
          <w:color w:val="0A2240"/>
          <w:sz w:val="21"/>
        </w:rPr>
        <w:t>Cannabis Real Estate</w:t>
      </w:r>
    </w:p>
    <w:p>
      <w:pPr>
        <w:spacing w:after="80"/>
        <w:ind w:left="0"/>
      </w:pPr>
      <w:r>
        <w:rPr>
          <w:color w:val="334155"/>
          <w:sz w:val="20"/>
        </w:rPr>
        <w:t>Properties used for legal cannabis cultivation, processing, or dispensary — highly regulated.</w:t>
      </w:r>
    </w:p>
    <w:p>
      <w:pPr>
        <w:spacing w:before="120" w:after="20"/>
      </w:pPr>
      <w:r>
        <w:rPr>
          <w:b/>
          <w:color w:val="0A2240"/>
          <w:sz w:val="21"/>
        </w:rPr>
        <w:t>Charter School Property</w:t>
      </w:r>
    </w:p>
    <w:p>
      <w:pPr>
        <w:spacing w:after="80"/>
        <w:ind w:left="0"/>
      </w:pPr>
      <w:r>
        <w:rPr>
          <w:color w:val="334155"/>
          <w:sz w:val="20"/>
        </w:rPr>
        <w:t>Real estate leased to charter schools, often via long-term net leases.</w:t>
      </w:r>
    </w:p>
    <w:p>
      <w:pPr>
        <w:spacing w:before="120" w:after="20"/>
      </w:pPr>
      <w:r>
        <w:rPr>
          <w:b/>
          <w:color w:val="0A2240"/>
          <w:sz w:val="21"/>
        </w:rPr>
        <w:t>Cold Storage</w:t>
      </w:r>
    </w:p>
    <w:p>
      <w:pPr>
        <w:spacing w:after="80"/>
        <w:ind w:left="0"/>
      </w:pPr>
      <w:r>
        <w:rPr>
          <w:color w:val="334155"/>
          <w:sz w:val="20"/>
        </w:rPr>
        <w:t>Refrigerated warehousing for perishable goods — a fast-growing industrial niche.</w:t>
      </w:r>
    </w:p>
    <w:p>
      <w:pPr>
        <w:spacing w:before="120" w:after="20"/>
      </w:pPr>
      <w:r>
        <w:rPr>
          <w:b/>
          <w:color w:val="0A2240"/>
          <w:sz w:val="21"/>
        </w:rPr>
        <w:t>Crypto Mining Facility</w:t>
      </w:r>
    </w:p>
    <w:p>
      <w:pPr>
        <w:spacing w:after="80"/>
        <w:ind w:left="0"/>
      </w:pPr>
      <w:r>
        <w:rPr>
          <w:color w:val="334155"/>
          <w:sz w:val="20"/>
        </w:rPr>
        <w:t>Industrial property with massive power capacity designed for cryptocurrency mining.</w:t>
      </w:r>
    </w:p>
    <w:p>
      <w:pPr>
        <w:spacing w:before="120" w:after="20"/>
      </w:pPr>
      <w:r>
        <w:rPr>
          <w:b/>
          <w:color w:val="0A2240"/>
          <w:sz w:val="21"/>
        </w:rPr>
        <w:t>Data Center</w:t>
      </w:r>
    </w:p>
    <w:p>
      <w:pPr>
        <w:spacing w:after="80"/>
        <w:ind w:left="0"/>
      </w:pPr>
      <w:r>
        <w:rPr>
          <w:color w:val="334155"/>
          <w:sz w:val="20"/>
        </w:rPr>
        <w:t>A facility purpose-built to house computer servers, with heavy power and cooling demands.</w:t>
      </w:r>
    </w:p>
    <w:p>
      <w:pPr>
        <w:spacing w:before="120" w:after="20"/>
      </w:pPr>
      <w:r>
        <w:rPr>
          <w:b/>
          <w:color w:val="0A2240"/>
          <w:sz w:val="21"/>
        </w:rPr>
        <w:t>EV Charging Hub</w:t>
      </w:r>
    </w:p>
    <w:p>
      <w:pPr>
        <w:spacing w:after="80"/>
        <w:ind w:left="0"/>
      </w:pPr>
      <w:r>
        <w:rPr>
          <w:color w:val="334155"/>
          <w:sz w:val="20"/>
        </w:rPr>
        <w:t>Real estate dedicated to electric vehicle charging stations, a fast-growing niche.</w:t>
      </w:r>
    </w:p>
    <w:p>
      <w:pPr>
        <w:spacing w:before="120" w:after="20"/>
      </w:pPr>
      <w:r>
        <w:rPr>
          <w:b/>
          <w:color w:val="0A2240"/>
          <w:sz w:val="21"/>
        </w:rPr>
        <w:t>Flex Industrial</w:t>
      </w:r>
    </w:p>
    <w:p>
      <w:pPr>
        <w:spacing w:after="80"/>
        <w:ind w:left="0"/>
      </w:pPr>
      <w:r>
        <w:rPr>
          <w:color w:val="334155"/>
          <w:sz w:val="20"/>
        </w:rPr>
        <w:t>Hybrid industrial property suitable for light manufacturing, distribution, or office use.</w:t>
      </w:r>
    </w:p>
    <w:p>
      <w:pPr>
        <w:spacing w:before="120" w:after="20"/>
      </w:pPr>
      <w:r>
        <w:rPr>
          <w:b/>
          <w:color w:val="0A2240"/>
          <w:sz w:val="21"/>
        </w:rPr>
        <w:t>Ghost Kitchen</w:t>
      </w:r>
    </w:p>
    <w:p>
      <w:pPr>
        <w:spacing w:after="80"/>
        <w:ind w:left="0"/>
      </w:pPr>
      <w:r>
        <w:rPr>
          <w:color w:val="334155"/>
          <w:sz w:val="20"/>
        </w:rPr>
        <w:t>A commercial kitchen serving delivery-only food businesses, leased as specialty industrial.</w:t>
      </w:r>
    </w:p>
    <w:p>
      <w:pPr>
        <w:spacing w:before="120" w:after="20"/>
      </w:pPr>
      <w:r>
        <w:rPr>
          <w:b/>
          <w:color w:val="0A2240"/>
          <w:sz w:val="21"/>
        </w:rPr>
        <w:t>Healthcare REIT</w:t>
      </w:r>
    </w:p>
    <w:p>
      <w:pPr>
        <w:spacing w:after="80"/>
        <w:ind w:left="0"/>
      </w:pPr>
      <w:r>
        <w:rPr>
          <w:color w:val="334155"/>
          <w:sz w:val="20"/>
        </w:rPr>
        <w:t>A REIT specializing in medical office, hospitals, and senior living properties.</w:t>
      </w:r>
    </w:p>
    <w:p>
      <w:pPr>
        <w:spacing w:before="120" w:after="20"/>
      </w:pPr>
      <w:r>
        <w:rPr>
          <w:b/>
          <w:color w:val="0A2240"/>
          <w:sz w:val="21"/>
        </w:rPr>
        <w:t>Last-Mile Logistics</w:t>
      </w:r>
    </w:p>
    <w:p>
      <w:pPr>
        <w:spacing w:after="80"/>
        <w:ind w:left="0"/>
      </w:pPr>
      <w:r>
        <w:rPr>
          <w:color w:val="334155"/>
          <w:sz w:val="20"/>
        </w:rPr>
        <w:t>Distribution facilities located near population centers for fast delivery.</w:t>
      </w:r>
    </w:p>
    <w:p>
      <w:pPr>
        <w:spacing w:before="120" w:after="20"/>
      </w:pPr>
      <w:r>
        <w:rPr>
          <w:b/>
          <w:color w:val="0A2240"/>
          <w:sz w:val="21"/>
        </w:rPr>
        <w:t>Life Sciences Real Estate</w:t>
      </w:r>
    </w:p>
    <w:p>
      <w:pPr>
        <w:spacing w:after="80"/>
        <w:ind w:left="0"/>
      </w:pPr>
      <w:r>
        <w:rPr>
          <w:color w:val="334155"/>
          <w:sz w:val="20"/>
        </w:rPr>
        <w:t>Laboratory and R&amp;D space designed for biotech and pharmaceutical tenants.</w:t>
      </w:r>
    </w:p>
    <w:p>
      <w:pPr>
        <w:spacing w:before="120" w:after="20"/>
      </w:pPr>
      <w:r>
        <w:rPr>
          <w:b/>
          <w:color w:val="0A2240"/>
          <w:sz w:val="21"/>
        </w:rPr>
        <w:t>Marina</w:t>
      </w:r>
    </w:p>
    <w:p>
      <w:pPr>
        <w:spacing w:after="80"/>
        <w:ind w:left="0"/>
      </w:pPr>
      <w:r>
        <w:rPr>
          <w:color w:val="334155"/>
          <w:sz w:val="20"/>
        </w:rPr>
        <w:t>Real estate specializing in boat slips and waterfront amenities.</w:t>
      </w:r>
    </w:p>
    <w:p>
      <w:pPr>
        <w:spacing w:before="120" w:after="20"/>
      </w:pPr>
      <w:r>
        <w:rPr>
          <w:b/>
          <w:color w:val="0A2240"/>
          <w:sz w:val="21"/>
        </w:rPr>
        <w:t>Medical Office Building (MOB)</w:t>
      </w:r>
    </w:p>
    <w:p>
      <w:pPr>
        <w:spacing w:after="80"/>
        <w:ind w:left="0"/>
      </w:pPr>
      <w:r>
        <w:rPr>
          <w:color w:val="334155"/>
          <w:sz w:val="20"/>
        </w:rPr>
        <w:t>Office property designed for medical or healthcare tenants.</w:t>
      </w:r>
    </w:p>
    <w:p>
      <w:pPr>
        <w:spacing w:before="120" w:after="20"/>
      </w:pPr>
      <w:r>
        <w:rPr>
          <w:b/>
          <w:color w:val="0A2240"/>
          <w:sz w:val="21"/>
        </w:rPr>
        <w:t>Mobile Home Park (MHP)</w:t>
      </w:r>
    </w:p>
    <w:p>
      <w:pPr>
        <w:spacing w:after="80"/>
        <w:ind w:left="0"/>
      </w:pPr>
      <w:r>
        <w:rPr>
          <w:color w:val="334155"/>
          <w:sz w:val="20"/>
        </w:rPr>
        <w:t>A community of manufactured homes on rented or owned lots.</w:t>
      </w:r>
    </w:p>
    <w:p>
      <w:pPr>
        <w:spacing w:before="120" w:after="20"/>
      </w:pPr>
      <w:r>
        <w:rPr>
          <w:b/>
          <w:color w:val="0A2240"/>
          <w:sz w:val="21"/>
        </w:rPr>
        <w:t>Net Lease (STNL)</w:t>
      </w:r>
    </w:p>
    <w:p>
      <w:pPr>
        <w:spacing w:after="80"/>
        <w:ind w:left="0"/>
      </w:pPr>
      <w:r>
        <w:rPr>
          <w:color w:val="334155"/>
          <w:sz w:val="20"/>
        </w:rPr>
        <w:t>Single-tenant net lease — typically long-term leases with credit tenants and minimal landlord duties.</w:t>
      </w:r>
    </w:p>
    <w:p>
      <w:pPr>
        <w:spacing w:before="120" w:after="20"/>
      </w:pPr>
      <w:r>
        <w:rPr>
          <w:b/>
          <w:color w:val="0A2240"/>
          <w:sz w:val="21"/>
        </w:rPr>
        <w:t>Outdoor Storage</w:t>
      </w:r>
    </w:p>
    <w:p>
      <w:pPr>
        <w:spacing w:after="80"/>
        <w:ind w:left="0"/>
      </w:pPr>
      <w:r>
        <w:rPr>
          <w:color w:val="334155"/>
          <w:sz w:val="20"/>
        </w:rPr>
        <w:t>Yards for vehicles, equipment, or materials — increasingly investable industrial subclass.</w:t>
      </w:r>
    </w:p>
    <w:p>
      <w:pPr>
        <w:spacing w:before="120" w:after="20"/>
      </w:pPr>
      <w:r>
        <w:rPr>
          <w:b/>
          <w:color w:val="0A2240"/>
          <w:sz w:val="21"/>
        </w:rPr>
        <w:t>RV Park</w:t>
      </w:r>
    </w:p>
    <w:p>
      <w:pPr>
        <w:spacing w:after="80"/>
        <w:ind w:left="0"/>
      </w:pPr>
      <w:r>
        <w:rPr>
          <w:color w:val="334155"/>
          <w:sz w:val="20"/>
        </w:rPr>
        <w:t>Real estate providing serviced lots for recreational vehicles, often with amenities.</w:t>
      </w:r>
    </w:p>
    <w:p>
      <w:pPr>
        <w:spacing w:before="120" w:after="20"/>
      </w:pPr>
      <w:r>
        <w:rPr>
          <w:b/>
          <w:color w:val="0A2240"/>
          <w:sz w:val="21"/>
        </w:rPr>
        <w:t>Senior Housing</w:t>
      </w:r>
    </w:p>
    <w:p>
      <w:pPr>
        <w:spacing w:after="80"/>
        <w:ind w:left="0"/>
      </w:pPr>
      <w:r>
        <w:rPr>
          <w:color w:val="334155"/>
          <w:sz w:val="20"/>
        </w:rPr>
        <w:t>Properties serving older adults, ranging from independent living to skilled nursing.</w:t>
      </w:r>
    </w:p>
    <w:p>
      <w:pPr>
        <w:spacing w:before="120" w:after="20"/>
      </w:pPr>
      <w:r>
        <w:rPr>
          <w:b/>
          <w:color w:val="0A2240"/>
          <w:sz w:val="21"/>
        </w:rPr>
        <w:t>Single-Family Rental (SFR) Portfolio</w:t>
      </w:r>
    </w:p>
    <w:p>
      <w:pPr>
        <w:spacing w:after="80"/>
        <w:ind w:left="0"/>
      </w:pPr>
      <w:r>
        <w:rPr>
          <w:color w:val="334155"/>
          <w:sz w:val="20"/>
        </w:rPr>
        <w:t>A collection of single-family homes operated as institutional rentals.</w:t>
      </w:r>
    </w:p>
    <w:p>
      <w:pPr>
        <w:spacing w:before="120" w:after="20"/>
      </w:pPr>
      <w:r>
        <w:rPr>
          <w:b/>
          <w:color w:val="0A2240"/>
          <w:sz w:val="21"/>
        </w:rPr>
        <w:t>Student Housing</w:t>
      </w:r>
    </w:p>
    <w:p>
      <w:pPr>
        <w:spacing w:after="80"/>
        <w:ind w:left="0"/>
      </w:pPr>
      <w:r>
        <w:rPr>
          <w:color w:val="334155"/>
          <w:sz w:val="20"/>
        </w:rPr>
        <w:t>Purpose-built rental properties serving university students.</w:t>
      </w:r>
    </w:p>
    <w:p>
      <w:r>
        <w:rPr>
          <w:b/>
          <w:color w:val="B22234"/>
          <w:sz w:val="28"/>
        </w:rPr>
        <w:t>Tax &amp; 1031</w:t>
      </w:r>
    </w:p>
    <w:p>
      <w:pPr>
        <w:spacing w:before="120" w:after="20"/>
      </w:pPr>
      <w:r>
        <w:rPr>
          <w:b/>
          <w:color w:val="0A2240"/>
          <w:sz w:val="21"/>
        </w:rPr>
        <w:t>1031 Exchange</w:t>
      </w:r>
    </w:p>
    <w:p>
      <w:pPr>
        <w:spacing w:after="80"/>
        <w:ind w:left="0"/>
      </w:pPr>
      <w:r>
        <w:rPr>
          <w:color w:val="334155"/>
          <w:sz w:val="20"/>
        </w:rPr>
        <w:t>An IRS-authorized swap of like-kind investment property that defers capital gains taxes.</w:t>
      </w:r>
    </w:p>
    <w:p>
      <w:pPr>
        <w:spacing w:before="120" w:after="20"/>
      </w:pPr>
      <w:r>
        <w:rPr>
          <w:b/>
          <w:color w:val="0A2240"/>
          <w:sz w:val="21"/>
        </w:rPr>
        <w:t>180-Day Rule</w:t>
      </w:r>
    </w:p>
    <w:p>
      <w:pPr>
        <w:spacing w:after="80"/>
        <w:ind w:left="0"/>
      </w:pPr>
      <w:r>
        <w:rPr>
          <w:color w:val="334155"/>
          <w:sz w:val="20"/>
        </w:rPr>
        <w:t>The 1031 deadline to close on a replacement property after selling the relinquished property.</w:t>
      </w:r>
    </w:p>
    <w:p>
      <w:pPr>
        <w:spacing w:before="120" w:after="20"/>
      </w:pPr>
      <w:r>
        <w:rPr>
          <w:b/>
          <w:color w:val="0A2240"/>
          <w:sz w:val="21"/>
        </w:rPr>
        <w:t>45-Day Rule</w:t>
      </w:r>
    </w:p>
    <w:p>
      <w:pPr>
        <w:spacing w:after="80"/>
        <w:ind w:left="0"/>
      </w:pPr>
      <w:r>
        <w:rPr>
          <w:color w:val="334155"/>
          <w:sz w:val="20"/>
        </w:rPr>
        <w:t>The 1031 deadline to identify replacement properties after closing on the relinquished property.</w:t>
      </w:r>
    </w:p>
    <w:p>
      <w:pPr>
        <w:spacing w:before="120" w:after="20"/>
      </w:pPr>
      <w:r>
        <w:rPr>
          <w:b/>
          <w:color w:val="0A2240"/>
          <w:sz w:val="21"/>
        </w:rPr>
        <w:t>Active vs. Passive Income</w:t>
      </w:r>
    </w:p>
    <w:p>
      <w:pPr>
        <w:spacing w:after="80"/>
        <w:ind w:left="0"/>
      </w:pPr>
      <w:r>
        <w:rPr>
          <w:color w:val="334155"/>
          <w:sz w:val="20"/>
        </w:rPr>
        <w:t>Active income comes from work; passive income comes from investments — taxed differently.</w:t>
      </w:r>
    </w:p>
    <w:p>
      <w:pPr>
        <w:spacing w:before="120" w:after="20"/>
      </w:pPr>
      <w:r>
        <w:rPr>
          <w:b/>
          <w:color w:val="0A2240"/>
          <w:sz w:val="21"/>
        </w:rPr>
        <w:t>Bonus Depreciation</w:t>
      </w:r>
    </w:p>
    <w:p>
      <w:pPr>
        <w:spacing w:after="80"/>
        <w:ind w:left="0"/>
      </w:pPr>
      <w:r>
        <w:rPr>
          <w:color w:val="334155"/>
          <w:sz w:val="20"/>
        </w:rPr>
        <w:t>An accelerated tax deduction allowing first-year write-off of qualifying property components.</w:t>
      </w:r>
    </w:p>
    <w:p>
      <w:pPr>
        <w:spacing w:before="120" w:after="20"/>
      </w:pPr>
      <w:r>
        <w:rPr>
          <w:b/>
          <w:color w:val="0A2240"/>
          <w:sz w:val="21"/>
        </w:rPr>
        <w:t>Boot</w:t>
      </w:r>
    </w:p>
    <w:p>
      <w:pPr>
        <w:spacing w:after="80"/>
        <w:ind w:left="0"/>
      </w:pPr>
      <w:r>
        <w:rPr>
          <w:color w:val="334155"/>
          <w:sz w:val="20"/>
        </w:rPr>
        <w:t>Cash or non-like-kind value received in a 1031 exchange that triggers taxable gain.</w:t>
      </w:r>
    </w:p>
    <w:p>
      <w:pPr>
        <w:spacing w:before="120" w:after="20"/>
      </w:pPr>
      <w:r>
        <w:rPr>
          <w:b/>
          <w:color w:val="0A2240"/>
          <w:sz w:val="21"/>
        </w:rPr>
        <w:t>Capital Gains Tax</w:t>
      </w:r>
    </w:p>
    <w:p>
      <w:pPr>
        <w:spacing w:after="80"/>
        <w:ind w:left="0"/>
      </w:pPr>
      <w:r>
        <w:rPr>
          <w:color w:val="334155"/>
          <w:sz w:val="20"/>
        </w:rPr>
        <w:t>A tax on profit from the sale of an asset held longer than one year.</w:t>
      </w:r>
    </w:p>
    <w:p>
      <w:pPr>
        <w:spacing w:before="120" w:after="20"/>
      </w:pPr>
      <w:r>
        <w:rPr>
          <w:b/>
          <w:color w:val="0A2240"/>
          <w:sz w:val="21"/>
        </w:rPr>
        <w:t>Cash Boot</w:t>
      </w:r>
    </w:p>
    <w:p>
      <w:pPr>
        <w:spacing w:after="80"/>
        <w:ind w:left="0"/>
      </w:pPr>
      <w:r>
        <w:rPr>
          <w:color w:val="334155"/>
          <w:sz w:val="20"/>
        </w:rPr>
        <w:t>Cash received in a 1031 exchange that is taxable.</w:t>
      </w:r>
    </w:p>
    <w:p>
      <w:pPr>
        <w:spacing w:before="120" w:after="20"/>
      </w:pPr>
      <w:r>
        <w:rPr>
          <w:b/>
          <w:color w:val="0A2240"/>
          <w:sz w:val="21"/>
        </w:rPr>
        <w:t>Constructive Receipt</w:t>
      </w:r>
    </w:p>
    <w:p>
      <w:pPr>
        <w:spacing w:after="80"/>
        <w:ind w:left="0"/>
      </w:pPr>
      <w:r>
        <w:rPr>
          <w:color w:val="334155"/>
          <w:sz w:val="20"/>
        </w:rPr>
        <w:t>An IRS doctrine treating taxpayers as receiving income they could control, even if not yet collected.</w:t>
      </w:r>
    </w:p>
    <w:p>
      <w:pPr>
        <w:spacing w:before="120" w:after="20"/>
      </w:pPr>
      <w:r>
        <w:rPr>
          <w:b/>
          <w:color w:val="0A2240"/>
          <w:sz w:val="21"/>
        </w:rPr>
        <w:t>Cost Segregation</w:t>
      </w:r>
    </w:p>
    <w:p>
      <w:pPr>
        <w:spacing w:after="80"/>
        <w:ind w:left="0"/>
      </w:pPr>
      <w:r>
        <w:rPr>
          <w:color w:val="334155"/>
          <w:sz w:val="20"/>
        </w:rPr>
        <w:t>A study that accelerates depreciation by separately classifying building components.</w:t>
      </w:r>
    </w:p>
    <w:p>
      <w:pPr>
        <w:spacing w:before="120" w:after="20"/>
      </w:pPr>
      <w:r>
        <w:rPr>
          <w:b/>
          <w:color w:val="0A2240"/>
          <w:sz w:val="21"/>
        </w:rPr>
        <w:t>Delaware Statutory Trust (DST)</w:t>
      </w:r>
    </w:p>
    <w:p>
      <w:pPr>
        <w:spacing w:after="80"/>
        <w:ind w:left="0"/>
      </w:pPr>
      <w:r>
        <w:rPr>
          <w:color w:val="334155"/>
          <w:sz w:val="20"/>
        </w:rPr>
        <w:t>A trust holding investment-grade real estate, eligible for 1031 exchanges.</w:t>
      </w:r>
    </w:p>
    <w:p>
      <w:pPr>
        <w:spacing w:before="120" w:after="20"/>
      </w:pPr>
      <w:r>
        <w:rPr>
          <w:b/>
          <w:color w:val="0A2240"/>
          <w:sz w:val="21"/>
        </w:rPr>
        <w:t>Depreciation</w:t>
      </w:r>
    </w:p>
    <w:p>
      <w:pPr>
        <w:spacing w:after="80"/>
        <w:ind w:left="0"/>
      </w:pPr>
      <w:r>
        <w:rPr>
          <w:color w:val="334155"/>
          <w:sz w:val="20"/>
        </w:rPr>
        <w:t>An annual tax deduction representing the wear and tear of an income-producing property.</w:t>
      </w:r>
    </w:p>
    <w:p>
      <w:pPr>
        <w:spacing w:before="120" w:after="20"/>
      </w:pPr>
      <w:r>
        <w:rPr>
          <w:b/>
          <w:color w:val="0A2240"/>
          <w:sz w:val="21"/>
        </w:rPr>
        <w:t>Drop and Swap</w:t>
      </w:r>
    </w:p>
    <w:p>
      <w:pPr>
        <w:spacing w:after="80"/>
        <w:ind w:left="0"/>
      </w:pPr>
      <w:r>
        <w:rPr>
          <w:color w:val="334155"/>
          <w:sz w:val="20"/>
        </w:rPr>
        <w:t>Restructuring partnership interests so partners can independently do 1031 exchanges.</w:t>
      </w:r>
    </w:p>
    <w:p>
      <w:pPr>
        <w:spacing w:before="120" w:after="20"/>
      </w:pPr>
      <w:r>
        <w:rPr>
          <w:b/>
          <w:color w:val="0A2240"/>
          <w:sz w:val="21"/>
        </w:rPr>
        <w:t>Identification Rules</w:t>
      </w:r>
    </w:p>
    <w:p>
      <w:pPr>
        <w:spacing w:after="80"/>
        <w:ind w:left="0"/>
      </w:pPr>
      <w:r>
        <w:rPr>
          <w:color w:val="334155"/>
          <w:sz w:val="20"/>
        </w:rPr>
        <w:t>The 3-property, 200%, or 95% rules limiting what a 1031 exchanger can identify.</w:t>
      </w:r>
    </w:p>
    <w:p>
      <w:pPr>
        <w:spacing w:before="120" w:after="20"/>
      </w:pPr>
      <w:r>
        <w:rPr>
          <w:b/>
          <w:color w:val="0A2240"/>
          <w:sz w:val="21"/>
        </w:rPr>
        <w:t>Improvement 1031</w:t>
      </w:r>
    </w:p>
    <w:p>
      <w:pPr>
        <w:spacing w:after="80"/>
        <w:ind w:left="0"/>
      </w:pPr>
      <w:r>
        <w:rPr>
          <w:color w:val="334155"/>
          <w:sz w:val="20"/>
        </w:rPr>
        <w:t>A 1031 exchange that includes construction or renovations within the 180-day window.</w:t>
      </w:r>
    </w:p>
    <w:p>
      <w:pPr>
        <w:spacing w:before="120" w:after="20"/>
      </w:pPr>
      <w:r>
        <w:rPr>
          <w:b/>
          <w:color w:val="0A2240"/>
          <w:sz w:val="21"/>
        </w:rPr>
        <w:t>Like-Kind Property</w:t>
      </w:r>
    </w:p>
    <w:p>
      <w:pPr>
        <w:spacing w:after="80"/>
        <w:ind w:left="0"/>
      </w:pPr>
      <w:r>
        <w:rPr>
          <w:color w:val="334155"/>
          <w:sz w:val="20"/>
        </w:rPr>
        <w:t>Real estate held for investment or business — required for a 1031 exchange.</w:t>
      </w:r>
    </w:p>
    <w:p>
      <w:pPr>
        <w:spacing w:before="120" w:after="20"/>
      </w:pPr>
      <w:r>
        <w:rPr>
          <w:b/>
          <w:color w:val="0A2240"/>
          <w:sz w:val="21"/>
        </w:rPr>
        <w:t>Material Participation</w:t>
      </w:r>
    </w:p>
    <w:p>
      <w:pPr>
        <w:spacing w:after="80"/>
        <w:ind w:left="0"/>
      </w:pPr>
      <w:r>
        <w:rPr>
          <w:color w:val="334155"/>
          <w:sz w:val="20"/>
        </w:rPr>
        <w:t>Active involvement in a real estate activity meeting specific IRS hour and engagement tests.</w:t>
      </w:r>
    </w:p>
    <w:p>
      <w:pPr>
        <w:spacing w:before="120" w:after="20"/>
      </w:pPr>
      <w:r>
        <w:rPr>
          <w:b/>
          <w:color w:val="0A2240"/>
          <w:sz w:val="21"/>
        </w:rPr>
        <w:t>Mill Rate</w:t>
      </w:r>
    </w:p>
    <w:p>
      <w:pPr>
        <w:spacing w:after="80"/>
        <w:ind w:left="0"/>
      </w:pPr>
      <w:r>
        <w:rPr>
          <w:color w:val="334155"/>
          <w:sz w:val="20"/>
        </w:rPr>
        <w:t>The amount of tax per $1,000 of assessed property value.</w:t>
      </w:r>
    </w:p>
    <w:p>
      <w:pPr>
        <w:spacing w:before="120" w:after="20"/>
      </w:pPr>
      <w:r>
        <w:rPr>
          <w:b/>
          <w:color w:val="0A2240"/>
          <w:sz w:val="21"/>
        </w:rPr>
        <w:t>Mixed-Use Property (1031)</w:t>
      </w:r>
    </w:p>
    <w:p>
      <w:pPr>
        <w:spacing w:after="80"/>
        <w:ind w:left="0"/>
      </w:pPr>
      <w:r>
        <w:rPr>
          <w:color w:val="334155"/>
          <w:sz w:val="20"/>
        </w:rPr>
        <w:t>Property used partly as a residence and partly for investment — requires special apportionment.</w:t>
      </w:r>
    </w:p>
    <w:p>
      <w:pPr>
        <w:spacing w:before="120" w:after="20"/>
      </w:pPr>
      <w:r>
        <w:rPr>
          <w:b/>
          <w:color w:val="0A2240"/>
          <w:sz w:val="21"/>
        </w:rPr>
        <w:t>Mortgage Boot</w:t>
      </w:r>
    </w:p>
    <w:p>
      <w:pPr>
        <w:spacing w:after="80"/>
        <w:ind w:left="0"/>
      </w:pPr>
      <w:r>
        <w:rPr>
          <w:color w:val="334155"/>
          <w:sz w:val="20"/>
        </w:rPr>
        <w:t>Debt relief in a 1031 exchange that may trigger taxable gain.</w:t>
      </w:r>
    </w:p>
    <w:p>
      <w:pPr>
        <w:spacing w:before="120" w:after="20"/>
      </w:pPr>
      <w:r>
        <w:rPr>
          <w:b/>
          <w:color w:val="0A2240"/>
          <w:sz w:val="21"/>
        </w:rPr>
        <w:t>Mortgage Interest Deduction</w:t>
      </w:r>
    </w:p>
    <w:p>
      <w:pPr>
        <w:spacing w:after="80"/>
        <w:ind w:left="0"/>
      </w:pPr>
      <w:r>
        <w:rPr>
          <w:color w:val="334155"/>
          <w:sz w:val="20"/>
        </w:rPr>
        <w:t>A federal tax deduction for interest paid on home loans up to specified limits.</w:t>
      </w:r>
    </w:p>
    <w:p>
      <w:pPr>
        <w:spacing w:before="120" w:after="20"/>
      </w:pPr>
      <w:r>
        <w:rPr>
          <w:b/>
          <w:color w:val="0A2240"/>
          <w:sz w:val="21"/>
        </w:rPr>
        <w:t>Opportunity Zone</w:t>
      </w:r>
    </w:p>
    <w:p>
      <w:pPr>
        <w:spacing w:after="80"/>
        <w:ind w:left="0"/>
      </w:pPr>
      <w:r>
        <w:rPr>
          <w:color w:val="334155"/>
          <w:sz w:val="20"/>
        </w:rPr>
        <w:t>An economically distressed area where investors can defer or reduce capital gains taxes.</w:t>
      </w:r>
    </w:p>
    <w:p>
      <w:pPr>
        <w:spacing w:before="120" w:after="20"/>
      </w:pPr>
      <w:r>
        <w:rPr>
          <w:b/>
          <w:color w:val="0A2240"/>
          <w:sz w:val="21"/>
        </w:rPr>
        <w:t>Passive Activity Loss</w:t>
      </w:r>
    </w:p>
    <w:p>
      <w:pPr>
        <w:spacing w:after="80"/>
        <w:ind w:left="0"/>
      </w:pPr>
      <w:r>
        <w:rPr>
          <w:color w:val="334155"/>
          <w:sz w:val="20"/>
        </w:rPr>
        <w:t>Tax losses from real estate that generally can only offset passive income, with exceptions.</w:t>
      </w:r>
    </w:p>
    <w:p>
      <w:pPr>
        <w:spacing w:before="120" w:after="20"/>
      </w:pPr>
      <w:r>
        <w:rPr>
          <w:b/>
          <w:color w:val="0A2240"/>
          <w:sz w:val="21"/>
        </w:rPr>
        <w:t>Personal Residence Exclusion</w:t>
      </w:r>
    </w:p>
    <w:p>
      <w:pPr>
        <w:spacing w:after="80"/>
        <w:ind w:left="0"/>
      </w:pPr>
      <w:r>
        <w:rPr>
          <w:color w:val="334155"/>
          <w:sz w:val="20"/>
        </w:rPr>
        <w:t>The Section 121 exclusion of up to $250K/$500K gain on a primary home sale.</w:t>
      </w:r>
    </w:p>
    <w:p>
      <w:pPr>
        <w:spacing w:before="120" w:after="20"/>
      </w:pPr>
      <w:r>
        <w:rPr>
          <w:b/>
          <w:color w:val="0A2240"/>
          <w:sz w:val="21"/>
        </w:rPr>
        <w:t>Property Tax</w:t>
      </w:r>
    </w:p>
    <w:p>
      <w:pPr>
        <w:spacing w:after="80"/>
        <w:ind w:left="0"/>
      </w:pPr>
      <w:r>
        <w:rPr>
          <w:color w:val="334155"/>
          <w:sz w:val="20"/>
        </w:rPr>
        <w:t>An annual tax levied by local governments based on assessed property value.</w:t>
      </w:r>
    </w:p>
    <w:p>
      <w:pPr>
        <w:spacing w:before="120" w:after="20"/>
      </w:pPr>
      <w:r>
        <w:rPr>
          <w:b/>
          <w:color w:val="0A2240"/>
          <w:sz w:val="21"/>
        </w:rPr>
        <w:t>Qualified Intermediary (QI)</w:t>
      </w:r>
    </w:p>
    <w:p>
      <w:pPr>
        <w:spacing w:after="80"/>
        <w:ind w:left="0"/>
      </w:pPr>
      <w:r>
        <w:rPr>
          <w:color w:val="334155"/>
          <w:sz w:val="20"/>
        </w:rPr>
        <w:t>A neutral party who holds 1031 exchange proceeds between sale and reinvestment.</w:t>
      </w:r>
    </w:p>
    <w:p>
      <w:pPr>
        <w:spacing w:before="120" w:after="20"/>
      </w:pPr>
      <w:r>
        <w:rPr>
          <w:b/>
          <w:color w:val="0A2240"/>
          <w:sz w:val="21"/>
        </w:rPr>
        <w:t>Real Estate Professional Status (REPS)</w:t>
      </w:r>
    </w:p>
    <w:p>
      <w:pPr>
        <w:spacing w:after="80"/>
        <w:ind w:left="0"/>
      </w:pPr>
      <w:r>
        <w:rPr>
          <w:color w:val="334155"/>
          <w:sz w:val="20"/>
        </w:rPr>
        <w:t>An IRS designation allowing real-estate losses to offset active income, requiring 750 hours and material participation.</w:t>
      </w:r>
    </w:p>
    <w:p>
      <w:pPr>
        <w:spacing w:before="120" w:after="20"/>
      </w:pPr>
      <w:r>
        <w:rPr>
          <w:b/>
          <w:color w:val="0A2240"/>
          <w:sz w:val="21"/>
        </w:rPr>
        <w:t>Reverse 1031 Exchange</w:t>
      </w:r>
    </w:p>
    <w:p>
      <w:pPr>
        <w:spacing w:after="80"/>
        <w:ind w:left="0"/>
      </w:pPr>
      <w:r>
        <w:rPr>
          <w:color w:val="334155"/>
          <w:sz w:val="20"/>
        </w:rPr>
        <w:t>A 1031 where the replacement property is acquired before the relinquished property is sold.</w:t>
      </w:r>
    </w:p>
    <w:p>
      <w:pPr>
        <w:spacing w:before="120" w:after="20"/>
      </w:pPr>
      <w:r>
        <w:rPr>
          <w:b/>
          <w:color w:val="0A2240"/>
          <w:sz w:val="21"/>
        </w:rPr>
        <w:t>Safe Harbor (1031)</w:t>
      </w:r>
    </w:p>
    <w:p>
      <w:pPr>
        <w:spacing w:after="80"/>
        <w:ind w:left="0"/>
      </w:pPr>
      <w:r>
        <w:rPr>
          <w:color w:val="334155"/>
          <w:sz w:val="20"/>
        </w:rPr>
        <w:t>IRS-approved procedures that exchanges must follow to qualify for tax deferral.</w:t>
      </w:r>
    </w:p>
    <w:p>
      <w:pPr>
        <w:spacing w:before="120" w:after="20"/>
      </w:pPr>
      <w:r>
        <w:rPr>
          <w:b/>
          <w:color w:val="0A2240"/>
          <w:sz w:val="21"/>
        </w:rPr>
        <w:t>Section 121 Exclusion</w:t>
      </w:r>
    </w:p>
    <w:p>
      <w:pPr>
        <w:spacing w:after="80"/>
        <w:ind w:left="0"/>
      </w:pPr>
      <w:r>
        <w:rPr>
          <w:color w:val="334155"/>
          <w:sz w:val="20"/>
        </w:rPr>
        <w:t>The IRS rule allowing up to $250K ($500K married) of gain to be excluded on a primary residence sale.</w:t>
      </w:r>
    </w:p>
    <w:p>
      <w:pPr>
        <w:spacing w:before="120" w:after="20"/>
      </w:pPr>
      <w:r>
        <w:rPr>
          <w:b/>
          <w:color w:val="0A2240"/>
          <w:sz w:val="21"/>
        </w:rPr>
        <w:t>Section 179 Deduction</w:t>
      </w:r>
    </w:p>
    <w:p>
      <w:pPr>
        <w:spacing w:after="80"/>
        <w:ind w:left="0"/>
      </w:pPr>
      <w:r>
        <w:rPr>
          <w:color w:val="334155"/>
          <w:sz w:val="20"/>
        </w:rPr>
        <w:t>A tax provision allowing immediate expensing of certain business property purchases up to a limit.</w:t>
      </w:r>
    </w:p>
    <w:p>
      <w:pPr>
        <w:spacing w:before="120" w:after="20"/>
      </w:pPr>
      <w:r>
        <w:rPr>
          <w:b/>
          <w:color w:val="0A2240"/>
          <w:sz w:val="21"/>
        </w:rPr>
        <w:t>Short-Term Rental Loophole</w:t>
      </w:r>
    </w:p>
    <w:p>
      <w:pPr>
        <w:spacing w:after="80"/>
        <w:ind w:left="0"/>
      </w:pPr>
      <w:r>
        <w:rPr>
          <w:color w:val="334155"/>
          <w:sz w:val="20"/>
        </w:rPr>
        <w:t>Using avg-stay-under-7-days rentals to claim active-style losses without REPS, with material participation.</w:t>
      </w:r>
    </w:p>
    <w:p>
      <w:pPr>
        <w:spacing w:before="120" w:after="20"/>
      </w:pPr>
      <w:r>
        <w:rPr>
          <w:b/>
          <w:color w:val="0A2240"/>
          <w:sz w:val="21"/>
        </w:rPr>
        <w:t>Step-Up in Basis</w:t>
      </w:r>
    </w:p>
    <w:p>
      <w:pPr>
        <w:spacing w:after="80"/>
        <w:ind w:left="0"/>
      </w:pPr>
      <w:r>
        <w:rPr>
          <w:color w:val="334155"/>
          <w:sz w:val="20"/>
        </w:rPr>
        <w:t>Adjustment of an inherited property's tax basis to its date-of-death fair market value.</w:t>
      </w:r>
    </w:p>
    <w:p>
      <w:pPr>
        <w:spacing w:before="120" w:after="20"/>
      </w:pPr>
      <w:r>
        <w:rPr>
          <w:b/>
          <w:color w:val="0A2240"/>
          <w:sz w:val="21"/>
        </w:rPr>
        <w:t>Suspended Losses</w:t>
      </w:r>
    </w:p>
    <w:p>
      <w:pPr>
        <w:spacing w:after="80"/>
        <w:ind w:left="0"/>
      </w:pPr>
      <w:r>
        <w:rPr>
          <w:color w:val="334155"/>
          <w:sz w:val="20"/>
        </w:rPr>
        <w:t>Passive losses carried forward when current rules limit their use.</w:t>
      </w:r>
    </w:p>
    <w:p>
      <w:pPr>
        <w:spacing w:before="120" w:after="20"/>
      </w:pPr>
      <w:r>
        <w:rPr>
          <w:b/>
          <w:color w:val="0A2240"/>
          <w:sz w:val="21"/>
        </w:rPr>
        <w:t>Tax Lien</w:t>
      </w:r>
    </w:p>
    <w:p>
      <w:pPr>
        <w:spacing w:after="80"/>
        <w:ind w:left="0"/>
      </w:pPr>
      <w:r>
        <w:rPr>
          <w:color w:val="334155"/>
          <w:sz w:val="20"/>
        </w:rPr>
        <w:t>A government claim against property for unpaid taxes, which takes priority over most other liens.</w:t>
      </w:r>
    </w:p>
    <w:p>
      <w:pPr>
        <w:spacing w:before="120" w:after="20"/>
      </w:pPr>
      <w:r>
        <w:rPr>
          <w:b/>
          <w:color w:val="0A2240"/>
          <w:sz w:val="21"/>
        </w:rPr>
        <w:t>Tax Loss Harvesting</w:t>
      </w:r>
    </w:p>
    <w:p>
      <w:pPr>
        <w:spacing w:after="80"/>
        <w:ind w:left="0"/>
      </w:pPr>
      <w:r>
        <w:rPr>
          <w:color w:val="334155"/>
          <w:sz w:val="20"/>
        </w:rPr>
        <w:t>Selling losing investments to offset capital gains elsewhere.</w:t>
      </w:r>
    </w:p>
    <w:p>
      <w:pPr>
        <w:spacing w:before="120" w:after="20"/>
      </w:pPr>
      <w:r>
        <w:rPr>
          <w:b/>
          <w:color w:val="0A2240"/>
          <w:sz w:val="21"/>
        </w:rPr>
        <w:t>Tenant-in-Common (TIC) 1031</w:t>
      </w:r>
    </w:p>
    <w:p>
      <w:pPr>
        <w:spacing w:after="80"/>
        <w:ind w:left="0"/>
      </w:pPr>
      <w:r>
        <w:rPr>
          <w:color w:val="334155"/>
          <w:sz w:val="20"/>
        </w:rPr>
        <w:t>Replacement property structure where investors hold fractional title together.</w:t>
      </w:r>
    </w:p>
    <w:p>
      <w:r>
        <w:rPr>
          <w:b/>
          <w:color w:val="B22234"/>
          <w:sz w:val="28"/>
        </w:rPr>
        <w:t>Underwriting &amp; Metrics</w:t>
      </w:r>
    </w:p>
    <w:p>
      <w:pPr>
        <w:spacing w:before="120" w:after="20"/>
      </w:pPr>
      <w:r>
        <w:rPr>
          <w:b/>
          <w:color w:val="0A2240"/>
          <w:sz w:val="21"/>
        </w:rPr>
        <w:t>Add-Back</w:t>
      </w:r>
    </w:p>
    <w:p>
      <w:pPr>
        <w:spacing w:after="80"/>
        <w:ind w:left="0"/>
      </w:pPr>
      <w:r>
        <w:rPr>
          <w:color w:val="334155"/>
          <w:sz w:val="20"/>
        </w:rPr>
        <w:t>Non-cash expenses added back to income when underwriting a self-employed borrower.</w:t>
      </w:r>
    </w:p>
    <w:p>
      <w:pPr>
        <w:spacing w:before="120" w:after="20"/>
      </w:pPr>
      <w:r>
        <w:rPr>
          <w:b/>
          <w:color w:val="0A2240"/>
          <w:sz w:val="21"/>
        </w:rPr>
        <w:t>Automated Underwriting</w:t>
      </w:r>
    </w:p>
    <w:p>
      <w:pPr>
        <w:spacing w:after="80"/>
        <w:ind w:left="0"/>
      </w:pPr>
      <w:r>
        <w:rPr>
          <w:color w:val="334155"/>
          <w:sz w:val="20"/>
        </w:rPr>
        <w:t>Software-driven loan evaluation systems like Fannie Mae's DU and Freddie Mac's LPA.</w:t>
      </w:r>
    </w:p>
    <w:p>
      <w:pPr>
        <w:spacing w:before="120" w:after="20"/>
      </w:pPr>
      <w:r>
        <w:rPr>
          <w:b/>
          <w:color w:val="0A2240"/>
          <w:sz w:val="21"/>
        </w:rPr>
        <w:t>Back-End DTI</w:t>
      </w:r>
    </w:p>
    <w:p>
      <w:pPr>
        <w:spacing w:after="80"/>
        <w:ind w:left="0"/>
      </w:pPr>
      <w:r>
        <w:rPr>
          <w:color w:val="334155"/>
          <w:sz w:val="20"/>
        </w:rPr>
        <w:t>Total monthly debt payments (housing + other) divided by gross monthly income.</w:t>
      </w:r>
    </w:p>
    <w:p>
      <w:pPr>
        <w:spacing w:before="120" w:after="20"/>
      </w:pPr>
      <w:r>
        <w:rPr>
          <w:b/>
          <w:color w:val="0A2240"/>
          <w:sz w:val="21"/>
        </w:rPr>
        <w:t>Capacity</w:t>
      </w:r>
    </w:p>
    <w:p>
      <w:pPr>
        <w:spacing w:after="80"/>
        <w:ind w:left="0"/>
      </w:pPr>
      <w:r>
        <w:rPr>
          <w:color w:val="334155"/>
          <w:sz w:val="20"/>
        </w:rPr>
        <w:t>A borrower's ability to repay a loan based on income and other obligations.</w:t>
      </w:r>
    </w:p>
    <w:p>
      <w:pPr>
        <w:spacing w:before="120" w:after="20"/>
      </w:pPr>
      <w:r>
        <w:rPr>
          <w:b/>
          <w:color w:val="0A2240"/>
          <w:sz w:val="21"/>
        </w:rPr>
        <w:t>Capital (Underwriting)</w:t>
      </w:r>
    </w:p>
    <w:p>
      <w:pPr>
        <w:spacing w:after="80"/>
        <w:ind w:left="0"/>
      </w:pPr>
      <w:r>
        <w:rPr>
          <w:color w:val="334155"/>
          <w:sz w:val="20"/>
        </w:rPr>
        <w:t>A borrower's savings or assets available beyond what's needed for a transaction.</w:t>
      </w:r>
    </w:p>
    <w:p>
      <w:pPr>
        <w:spacing w:before="120" w:after="20"/>
      </w:pPr>
      <w:r>
        <w:rPr>
          <w:b/>
          <w:color w:val="0A2240"/>
          <w:sz w:val="21"/>
        </w:rPr>
        <w:t>Character (Underwriting)</w:t>
      </w:r>
    </w:p>
    <w:p>
      <w:pPr>
        <w:spacing w:after="80"/>
        <w:ind w:left="0"/>
      </w:pPr>
      <w:r>
        <w:rPr>
          <w:color w:val="334155"/>
          <w:sz w:val="20"/>
        </w:rPr>
        <w:t>A borrower's credit history and reputation for repaying obligations.</w:t>
      </w:r>
    </w:p>
    <w:p>
      <w:pPr>
        <w:spacing w:before="120" w:after="20"/>
      </w:pPr>
      <w:r>
        <w:rPr>
          <w:b/>
          <w:color w:val="0A2240"/>
          <w:sz w:val="21"/>
        </w:rPr>
        <w:t>Clear to Close (CTC)</w:t>
      </w:r>
    </w:p>
    <w:p>
      <w:pPr>
        <w:spacing w:after="80"/>
        <w:ind w:left="0"/>
      </w:pPr>
      <w:r>
        <w:rPr>
          <w:color w:val="334155"/>
          <w:sz w:val="20"/>
        </w:rPr>
        <w:t>Final underwriter approval — all conditions met, ready to schedule closing.</w:t>
      </w:r>
    </w:p>
    <w:p>
      <w:pPr>
        <w:spacing w:before="120" w:after="20"/>
      </w:pPr>
      <w:r>
        <w:rPr>
          <w:b/>
          <w:color w:val="0A2240"/>
          <w:sz w:val="21"/>
        </w:rPr>
        <w:t>Collateral</w:t>
      </w:r>
    </w:p>
    <w:p>
      <w:pPr>
        <w:spacing w:after="80"/>
        <w:ind w:left="0"/>
      </w:pPr>
      <w:r>
        <w:rPr>
          <w:color w:val="334155"/>
          <w:sz w:val="20"/>
        </w:rPr>
        <w:t>An asset pledged as security for a loan, which the lender can seize on default.</w:t>
      </w:r>
    </w:p>
    <w:p>
      <w:pPr>
        <w:spacing w:before="120" w:after="20"/>
      </w:pPr>
      <w:r>
        <w:rPr>
          <w:b/>
          <w:color w:val="0A2240"/>
          <w:sz w:val="21"/>
        </w:rPr>
        <w:t>Combined Loan-to-Value (CLTV)</w:t>
      </w:r>
    </w:p>
    <w:p>
      <w:pPr>
        <w:spacing w:after="80"/>
        <w:ind w:left="0"/>
      </w:pPr>
      <w:r>
        <w:rPr>
          <w:color w:val="334155"/>
          <w:sz w:val="20"/>
        </w:rPr>
        <w:t>The sum of all loans against a property divided by the property's value.</w:t>
      </w:r>
    </w:p>
    <w:p>
      <w:pPr>
        <w:spacing w:before="120" w:after="20"/>
      </w:pPr>
      <w:r>
        <w:rPr>
          <w:b/>
          <w:color w:val="0A2240"/>
          <w:sz w:val="21"/>
        </w:rPr>
        <w:t>Compensating Factors</w:t>
      </w:r>
    </w:p>
    <w:p>
      <w:pPr>
        <w:spacing w:after="80"/>
        <w:ind w:left="0"/>
      </w:pPr>
      <w:r>
        <w:rPr>
          <w:color w:val="334155"/>
          <w:sz w:val="20"/>
        </w:rPr>
        <w:t>Positive borrower attributes (large reserves, low DTI) that offset weaker areas of an application.</w:t>
      </w:r>
    </w:p>
    <w:p>
      <w:pPr>
        <w:spacing w:before="120" w:after="20"/>
      </w:pPr>
      <w:r>
        <w:rPr>
          <w:b/>
          <w:color w:val="0A2240"/>
          <w:sz w:val="21"/>
        </w:rPr>
        <w:t>Conditional Approval</w:t>
      </w:r>
    </w:p>
    <w:p>
      <w:pPr>
        <w:spacing w:after="80"/>
        <w:ind w:left="0"/>
      </w:pPr>
      <w:r>
        <w:rPr>
          <w:color w:val="334155"/>
          <w:sz w:val="20"/>
        </w:rPr>
        <w:t>Underwriter approval pending submission of specific documents or clarifications.</w:t>
      </w:r>
    </w:p>
    <w:p>
      <w:pPr>
        <w:spacing w:before="120" w:after="20"/>
      </w:pPr>
      <w:r>
        <w:rPr>
          <w:b/>
          <w:color w:val="0A2240"/>
          <w:sz w:val="21"/>
        </w:rPr>
        <w:t>Conditions (Underwriting)</w:t>
      </w:r>
    </w:p>
    <w:p>
      <w:pPr>
        <w:spacing w:after="80"/>
        <w:ind w:left="0"/>
      </w:pPr>
      <w:r>
        <w:rPr>
          <w:color w:val="334155"/>
          <w:sz w:val="20"/>
        </w:rPr>
        <w:t>External factors a lender considers, such as loan purpose, market conditions, and economy.</w:t>
      </w:r>
    </w:p>
    <w:p>
      <w:pPr>
        <w:spacing w:before="120" w:after="20"/>
      </w:pPr>
      <w:r>
        <w:rPr>
          <w:b/>
          <w:color w:val="0A2240"/>
          <w:sz w:val="21"/>
        </w:rPr>
        <w:t>Credit Score Tiers</w:t>
      </w:r>
    </w:p>
    <w:p>
      <w:pPr>
        <w:spacing w:after="80"/>
        <w:ind w:left="0"/>
      </w:pPr>
      <w:r>
        <w:rPr>
          <w:color w:val="334155"/>
          <w:sz w:val="20"/>
        </w:rPr>
        <w:t>Common bands: 760+ excellent, 700-759 good, 660-699 fair, below 660 challenging.</w:t>
      </w:r>
    </w:p>
    <w:p>
      <w:pPr>
        <w:spacing w:before="120" w:after="20"/>
      </w:pPr>
      <w:r>
        <w:rPr>
          <w:b/>
          <w:color w:val="0A2240"/>
          <w:sz w:val="21"/>
        </w:rPr>
        <w:t>Debt Stack</w:t>
      </w:r>
    </w:p>
    <w:p>
      <w:pPr>
        <w:spacing w:after="80"/>
        <w:ind w:left="0"/>
      </w:pPr>
      <w:r>
        <w:rPr>
          <w:color w:val="334155"/>
          <w:sz w:val="20"/>
        </w:rPr>
        <w:t>All outstanding obligations a borrower carries, considered together in underwriting.</w:t>
      </w:r>
    </w:p>
    <w:p>
      <w:pPr>
        <w:spacing w:before="120" w:after="20"/>
      </w:pPr>
      <w:r>
        <w:rPr>
          <w:b/>
          <w:color w:val="0A2240"/>
          <w:sz w:val="21"/>
        </w:rPr>
        <w:t>Debt Yield</w:t>
      </w:r>
    </w:p>
    <w:p>
      <w:pPr>
        <w:spacing w:after="80"/>
        <w:ind w:left="0"/>
      </w:pPr>
      <w:r>
        <w:rPr>
          <w:color w:val="334155"/>
          <w:sz w:val="20"/>
        </w:rPr>
        <w:t>Net operating income divided by loan amount, used by commercial lenders.</w:t>
      </w:r>
    </w:p>
    <w:p>
      <w:pPr>
        <w:spacing w:before="120" w:after="20"/>
      </w:pPr>
      <w:r>
        <w:rPr>
          <w:b/>
          <w:color w:val="0A2240"/>
          <w:sz w:val="21"/>
        </w:rPr>
        <w:t>Debt-Service Coverage Ratio (DSCR)</w:t>
      </w:r>
    </w:p>
    <w:p>
      <w:pPr>
        <w:spacing w:after="80"/>
        <w:ind w:left="0"/>
      </w:pPr>
      <w:r>
        <w:rPr>
          <w:color w:val="334155"/>
          <w:sz w:val="20"/>
        </w:rPr>
        <w:t>Net operating income divided by total debt service — a key commercial underwriting metric.</w:t>
      </w:r>
    </w:p>
    <w:p>
      <w:pPr>
        <w:spacing w:before="120" w:after="20"/>
      </w:pPr>
      <w:r>
        <w:rPr>
          <w:b/>
          <w:color w:val="0A2240"/>
          <w:sz w:val="21"/>
        </w:rPr>
        <w:t>Debt-to-Income Ratio (DTI)</w:t>
      </w:r>
    </w:p>
    <w:p>
      <w:pPr>
        <w:spacing w:after="80"/>
        <w:ind w:left="0"/>
      </w:pPr>
      <w:r>
        <w:rPr>
          <w:color w:val="334155"/>
          <w:sz w:val="20"/>
        </w:rPr>
        <w:t>Monthly debt obligations divided by gross monthly income, used to gauge borrowing capacity.</w:t>
      </w:r>
    </w:p>
    <w:p>
      <w:pPr>
        <w:spacing w:before="120" w:after="20"/>
      </w:pPr>
      <w:r>
        <w:rPr>
          <w:b/>
          <w:color w:val="0A2240"/>
          <w:sz w:val="21"/>
        </w:rPr>
        <w:t>Disposable Income</w:t>
      </w:r>
    </w:p>
    <w:p>
      <w:pPr>
        <w:spacing w:after="80"/>
        <w:ind w:left="0"/>
      </w:pPr>
      <w:r>
        <w:rPr>
          <w:color w:val="334155"/>
          <w:sz w:val="20"/>
        </w:rPr>
        <w:t>Income remaining after taxes, used in some manual underwriting calculations.</w:t>
      </w:r>
    </w:p>
    <w:p>
      <w:pPr>
        <w:spacing w:before="120" w:after="20"/>
      </w:pPr>
      <w:r>
        <w:rPr>
          <w:b/>
          <w:color w:val="0A2240"/>
          <w:sz w:val="21"/>
        </w:rPr>
        <w:t>FICO Score</w:t>
      </w:r>
    </w:p>
    <w:p>
      <w:pPr>
        <w:spacing w:after="80"/>
        <w:ind w:left="0"/>
      </w:pPr>
      <w:r>
        <w:rPr>
          <w:color w:val="334155"/>
          <w:sz w:val="20"/>
        </w:rPr>
        <w:t>A credit score model developed by Fair Isaac Corporation, ranging from 300 to 850.</w:t>
      </w:r>
    </w:p>
    <w:p>
      <w:pPr>
        <w:spacing w:before="120" w:after="20"/>
      </w:pPr>
      <w:r>
        <w:rPr>
          <w:b/>
          <w:color w:val="0A2240"/>
          <w:sz w:val="21"/>
        </w:rPr>
        <w:t>Front-End DTI</w:t>
      </w:r>
    </w:p>
    <w:p>
      <w:pPr>
        <w:spacing w:after="80"/>
        <w:ind w:left="0"/>
      </w:pPr>
      <w:r>
        <w:rPr>
          <w:color w:val="334155"/>
          <w:sz w:val="20"/>
        </w:rPr>
        <w:t>Housing-related monthly costs divided by gross monthly income.</w:t>
      </w:r>
    </w:p>
    <w:p>
      <w:pPr>
        <w:spacing w:before="120" w:after="20"/>
      </w:pPr>
      <w:r>
        <w:rPr>
          <w:b/>
          <w:color w:val="0A2240"/>
          <w:sz w:val="21"/>
        </w:rPr>
        <w:t>Gift Letter</w:t>
      </w:r>
    </w:p>
    <w:p>
      <w:pPr>
        <w:spacing w:after="80"/>
        <w:ind w:left="0"/>
      </w:pPr>
      <w:r>
        <w:rPr>
          <w:color w:val="334155"/>
          <w:sz w:val="20"/>
        </w:rPr>
        <w:t>Documentation confirming that down-payment funds were a gift, not a loan.</w:t>
      </w:r>
    </w:p>
    <w:p>
      <w:pPr>
        <w:spacing w:before="120" w:after="20"/>
      </w:pPr>
      <w:r>
        <w:rPr>
          <w:b/>
          <w:color w:val="0A2240"/>
          <w:sz w:val="21"/>
        </w:rPr>
        <w:t>Gross Rent Multiplier (GRM)</w:t>
      </w:r>
    </w:p>
    <w:p>
      <w:pPr>
        <w:spacing w:after="80"/>
        <w:ind w:left="0"/>
      </w:pPr>
      <w:r>
        <w:rPr>
          <w:color w:val="334155"/>
          <w:sz w:val="20"/>
        </w:rPr>
        <w:t>Property price divided by gross annual rental income — a quick valuation screen.</w:t>
      </w:r>
    </w:p>
    <w:p>
      <w:pPr>
        <w:spacing w:before="120" w:after="20"/>
      </w:pPr>
      <w:r>
        <w:rPr>
          <w:b/>
          <w:color w:val="0A2240"/>
          <w:sz w:val="21"/>
        </w:rPr>
        <w:t>Hard Pull</w:t>
      </w:r>
    </w:p>
    <w:p>
      <w:pPr>
        <w:spacing w:after="80"/>
        <w:ind w:left="0"/>
      </w:pPr>
      <w:r>
        <w:rPr>
          <w:color w:val="334155"/>
          <w:sz w:val="20"/>
        </w:rPr>
        <w:t>A credit inquiry that may affect a credit score, usually for new credit applications.</w:t>
      </w:r>
    </w:p>
    <w:p>
      <w:pPr>
        <w:spacing w:before="120" w:after="20"/>
      </w:pPr>
      <w:r>
        <w:rPr>
          <w:b/>
          <w:color w:val="0A2240"/>
          <w:sz w:val="21"/>
        </w:rPr>
        <w:t>Income Documentation</w:t>
      </w:r>
    </w:p>
    <w:p>
      <w:pPr>
        <w:spacing w:after="80"/>
        <w:ind w:left="0"/>
      </w:pPr>
      <w:r>
        <w:rPr>
          <w:color w:val="334155"/>
          <w:sz w:val="20"/>
        </w:rPr>
        <w:t>W-2s, tax returns, pay stubs, and bank statements used to verify a borrower's earnings.</w:t>
      </w:r>
    </w:p>
    <w:p>
      <w:pPr>
        <w:spacing w:before="120" w:after="20"/>
      </w:pPr>
      <w:r>
        <w:rPr>
          <w:b/>
          <w:color w:val="0A2240"/>
          <w:sz w:val="21"/>
        </w:rPr>
        <w:t>Inquiries</w:t>
      </w:r>
    </w:p>
    <w:p>
      <w:pPr>
        <w:spacing w:after="80"/>
        <w:ind w:left="0"/>
      </w:pPr>
      <w:r>
        <w:rPr>
          <w:color w:val="334155"/>
          <w:sz w:val="20"/>
        </w:rPr>
        <w:t>Records of credit checks — too many in a short window can lower scores.</w:t>
      </w:r>
    </w:p>
    <w:p>
      <w:pPr>
        <w:spacing w:before="120" w:after="20"/>
      </w:pPr>
      <w:r>
        <w:rPr>
          <w:b/>
          <w:color w:val="0A2240"/>
          <w:sz w:val="21"/>
        </w:rPr>
        <w:t>Layered Risk</w:t>
      </w:r>
    </w:p>
    <w:p>
      <w:pPr>
        <w:spacing w:after="80"/>
        <w:ind w:left="0"/>
      </w:pPr>
      <w:r>
        <w:rPr>
          <w:color w:val="334155"/>
          <w:sz w:val="20"/>
        </w:rPr>
        <w:t>Loans with multiple high-risk factors (low credit, high LTV, low reserves) requiring extra scrutiny.</w:t>
      </w:r>
    </w:p>
    <w:p>
      <w:pPr>
        <w:spacing w:before="120" w:after="20"/>
      </w:pPr>
      <w:r>
        <w:rPr>
          <w:b/>
          <w:color w:val="0A2240"/>
          <w:sz w:val="21"/>
        </w:rPr>
        <w:t>Liquid Assets</w:t>
      </w:r>
    </w:p>
    <w:p>
      <w:pPr>
        <w:spacing w:after="80"/>
        <w:ind w:left="0"/>
      </w:pPr>
      <w:r>
        <w:rPr>
          <w:color w:val="334155"/>
          <w:sz w:val="20"/>
        </w:rPr>
        <w:t>Assets quickly convertible to cash — bank accounts, money market, brokerage.</w:t>
      </w:r>
    </w:p>
    <w:p>
      <w:pPr>
        <w:spacing w:before="120" w:after="20"/>
      </w:pPr>
      <w:r>
        <w:rPr>
          <w:b/>
          <w:color w:val="0A2240"/>
          <w:sz w:val="21"/>
        </w:rPr>
        <w:t>Loan Estimate Comparison</w:t>
      </w:r>
    </w:p>
    <w:p>
      <w:pPr>
        <w:spacing w:after="80"/>
        <w:ind w:left="0"/>
      </w:pPr>
      <w:r>
        <w:rPr>
          <w:color w:val="334155"/>
          <w:sz w:val="20"/>
        </w:rPr>
        <w:t>Reviewing multiple lender estimates side-by-side to choose the best terms.</w:t>
      </w:r>
    </w:p>
    <w:p>
      <w:pPr>
        <w:spacing w:before="120" w:after="20"/>
      </w:pPr>
      <w:r>
        <w:rPr>
          <w:b/>
          <w:color w:val="0A2240"/>
          <w:sz w:val="21"/>
        </w:rPr>
        <w:t>Loan-to-Value (LTV)</w:t>
      </w:r>
    </w:p>
    <w:p>
      <w:pPr>
        <w:spacing w:after="80"/>
        <w:ind w:left="0"/>
      </w:pPr>
      <w:r>
        <w:rPr>
          <w:color w:val="334155"/>
          <w:sz w:val="20"/>
        </w:rPr>
        <w:t>The loan amount expressed as a percentage of the property's appraised value.</w:t>
      </w:r>
    </w:p>
    <w:p>
      <w:pPr>
        <w:spacing w:before="120" w:after="20"/>
      </w:pPr>
      <w:r>
        <w:rPr>
          <w:b/>
          <w:color w:val="0A2240"/>
          <w:sz w:val="21"/>
        </w:rPr>
        <w:t>Manual Underwriting</w:t>
      </w:r>
    </w:p>
    <w:p>
      <w:pPr>
        <w:spacing w:after="80"/>
        <w:ind w:left="0"/>
      </w:pPr>
      <w:r>
        <w:rPr>
          <w:color w:val="334155"/>
          <w:sz w:val="20"/>
        </w:rPr>
        <w:t>Human review of a loan file, often used for complex or non-standard situations.</w:t>
      </w:r>
    </w:p>
    <w:p>
      <w:pPr>
        <w:spacing w:before="120" w:after="20"/>
      </w:pPr>
      <w:r>
        <w:rPr>
          <w:b/>
          <w:color w:val="0A2240"/>
          <w:sz w:val="21"/>
        </w:rPr>
        <w:t>Net Worth Statement</w:t>
      </w:r>
    </w:p>
    <w:p>
      <w:pPr>
        <w:spacing w:after="80"/>
        <w:ind w:left="0"/>
      </w:pPr>
      <w:r>
        <w:rPr>
          <w:color w:val="334155"/>
          <w:sz w:val="20"/>
        </w:rPr>
        <w:t>A summary of a borrower's total assets minus total liabilities.</w:t>
      </w:r>
    </w:p>
    <w:p>
      <w:pPr>
        <w:spacing w:before="120" w:after="20"/>
      </w:pPr>
      <w:r>
        <w:rPr>
          <w:b/>
          <w:color w:val="0A2240"/>
          <w:sz w:val="21"/>
        </w:rPr>
        <w:t>Non-Liquid Assets</w:t>
      </w:r>
    </w:p>
    <w:p>
      <w:pPr>
        <w:spacing w:after="80"/>
        <w:ind w:left="0"/>
      </w:pPr>
      <w:r>
        <w:rPr>
          <w:color w:val="334155"/>
          <w:sz w:val="20"/>
        </w:rPr>
        <w:t>Assets not easily converted, like retirement accounts (counted at discount) and real estate.</w:t>
      </w:r>
    </w:p>
    <w:p>
      <w:pPr>
        <w:spacing w:before="120" w:after="20"/>
      </w:pPr>
      <w:r>
        <w:rPr>
          <w:b/>
          <w:color w:val="0A2240"/>
          <w:sz w:val="21"/>
        </w:rPr>
        <w:t>Occupancy Type</w:t>
      </w:r>
    </w:p>
    <w:p>
      <w:pPr>
        <w:spacing w:after="80"/>
        <w:ind w:left="0"/>
      </w:pPr>
      <w:r>
        <w:rPr>
          <w:color w:val="334155"/>
          <w:sz w:val="20"/>
        </w:rPr>
        <w:t>Classification of a borrower's intent: owner-occupied, second home, or investment.</w:t>
      </w:r>
    </w:p>
    <w:p>
      <w:pPr>
        <w:spacing w:before="120" w:after="20"/>
      </w:pPr>
      <w:r>
        <w:rPr>
          <w:b/>
          <w:color w:val="0A2240"/>
          <w:sz w:val="21"/>
        </w:rPr>
        <w:t>Pre-Underwriting</w:t>
      </w:r>
    </w:p>
    <w:p>
      <w:pPr>
        <w:spacing w:after="80"/>
        <w:ind w:left="0"/>
      </w:pPr>
      <w:r>
        <w:rPr>
          <w:color w:val="334155"/>
          <w:sz w:val="20"/>
        </w:rPr>
        <w:t>Early review of a loan file before the property is identified.</w:t>
      </w:r>
    </w:p>
    <w:p>
      <w:pPr>
        <w:spacing w:before="120" w:after="20"/>
      </w:pPr>
      <w:r>
        <w:rPr>
          <w:b/>
          <w:color w:val="0A2240"/>
          <w:sz w:val="21"/>
        </w:rPr>
        <w:t>Reserve Requirement</w:t>
      </w:r>
    </w:p>
    <w:p>
      <w:pPr>
        <w:spacing w:after="80"/>
        <w:ind w:left="0"/>
      </w:pPr>
      <w:r>
        <w:rPr>
          <w:color w:val="334155"/>
          <w:sz w:val="20"/>
        </w:rPr>
        <w:t>Minimum months of PITI a borrower must have available after closing, often 2-6 months.</w:t>
      </w:r>
    </w:p>
    <w:p>
      <w:pPr>
        <w:spacing w:before="120" w:after="20"/>
      </w:pPr>
      <w:r>
        <w:rPr>
          <w:b/>
          <w:color w:val="0A2240"/>
          <w:sz w:val="21"/>
        </w:rPr>
        <w:t>Reserves</w:t>
      </w:r>
    </w:p>
    <w:p>
      <w:pPr>
        <w:spacing w:after="80"/>
        <w:ind w:left="0"/>
      </w:pPr>
      <w:r>
        <w:rPr>
          <w:color w:val="334155"/>
          <w:sz w:val="20"/>
        </w:rPr>
        <w:t>Liquid assets a borrower holds after closing, often expressed as months of PITI.</w:t>
      </w:r>
    </w:p>
    <w:p>
      <w:pPr>
        <w:spacing w:before="120" w:after="20"/>
      </w:pPr>
      <w:r>
        <w:rPr>
          <w:b/>
          <w:color w:val="0A2240"/>
          <w:sz w:val="21"/>
        </w:rPr>
        <w:t>Residual Income</w:t>
      </w:r>
    </w:p>
    <w:p>
      <w:pPr>
        <w:spacing w:after="80"/>
        <w:ind w:left="0"/>
      </w:pPr>
      <w:r>
        <w:rPr>
          <w:color w:val="334155"/>
          <w:sz w:val="20"/>
        </w:rPr>
        <w:t>Income left after housing and debts — a key VA loan underwriting metric.</w:t>
      </w:r>
    </w:p>
    <w:p>
      <w:pPr>
        <w:spacing w:before="120" w:after="20"/>
      </w:pPr>
      <w:r>
        <w:rPr>
          <w:b/>
          <w:color w:val="0A2240"/>
          <w:sz w:val="21"/>
        </w:rPr>
        <w:t>Schedule E</w:t>
      </w:r>
    </w:p>
    <w:p>
      <w:pPr>
        <w:spacing w:after="80"/>
        <w:ind w:left="0"/>
      </w:pPr>
      <w:r>
        <w:rPr>
          <w:color w:val="334155"/>
          <w:sz w:val="20"/>
        </w:rPr>
        <w:t>An IRS form reporting rental and royalty income — key for landlord borrowers.</w:t>
      </w:r>
    </w:p>
    <w:p>
      <w:pPr>
        <w:spacing w:before="120" w:after="20"/>
      </w:pPr>
      <w:r>
        <w:rPr>
          <w:b/>
          <w:color w:val="0A2240"/>
          <w:sz w:val="21"/>
        </w:rPr>
        <w:t>Seasoning</w:t>
      </w:r>
    </w:p>
    <w:p>
      <w:pPr>
        <w:spacing w:after="80"/>
        <w:ind w:left="0"/>
      </w:pPr>
      <w:r>
        <w:rPr>
          <w:color w:val="334155"/>
          <w:sz w:val="20"/>
        </w:rPr>
        <w:t>How long funds have sat in an account, used to verify down-payment sources.</w:t>
      </w:r>
    </w:p>
    <w:p>
      <w:pPr>
        <w:spacing w:before="120" w:after="20"/>
      </w:pPr>
      <w:r>
        <w:rPr>
          <w:b/>
          <w:color w:val="0A2240"/>
          <w:sz w:val="21"/>
        </w:rPr>
        <w:t>Self-Employed Borrower</w:t>
      </w:r>
    </w:p>
    <w:p>
      <w:pPr>
        <w:spacing w:after="80"/>
        <w:ind w:left="0"/>
      </w:pPr>
      <w:r>
        <w:rPr>
          <w:color w:val="334155"/>
          <w:sz w:val="20"/>
        </w:rPr>
        <w:t>A borrower whose income comes from a business they own — typically underwritten with tax returns.</w:t>
      </w:r>
    </w:p>
    <w:p>
      <w:pPr>
        <w:spacing w:before="120" w:after="20"/>
      </w:pPr>
      <w:r>
        <w:rPr>
          <w:b/>
          <w:color w:val="0A2240"/>
          <w:sz w:val="21"/>
        </w:rPr>
        <w:t>Soft Pull</w:t>
      </w:r>
    </w:p>
    <w:p>
      <w:pPr>
        <w:spacing w:after="80"/>
        <w:ind w:left="0"/>
      </w:pPr>
      <w:r>
        <w:rPr>
          <w:color w:val="334155"/>
          <w:sz w:val="20"/>
        </w:rPr>
        <w:t>A credit check that doesn't affect the score, often used for pre-qualifications.</w:t>
      </w:r>
    </w:p>
    <w:p>
      <w:pPr>
        <w:spacing w:before="120" w:after="20"/>
      </w:pPr>
      <w:r>
        <w:rPr>
          <w:b/>
          <w:color w:val="0A2240"/>
          <w:sz w:val="21"/>
        </w:rPr>
        <w:t>Stated Income Loan</w:t>
      </w:r>
    </w:p>
    <w:p>
      <w:pPr>
        <w:spacing w:after="80"/>
        <w:ind w:left="0"/>
      </w:pPr>
      <w:r>
        <w:rPr>
          <w:color w:val="334155"/>
          <w:sz w:val="20"/>
        </w:rPr>
        <w:t>A loan approved based on the borrower's reported income without full verification.</w:t>
      </w:r>
    </w:p>
    <w:p>
      <w:pPr>
        <w:spacing w:before="120" w:after="20"/>
      </w:pPr>
      <w:r>
        <w:rPr>
          <w:b/>
          <w:color w:val="0A2240"/>
          <w:sz w:val="21"/>
        </w:rPr>
        <w:t>Stress Test</w:t>
      </w:r>
    </w:p>
    <w:p>
      <w:pPr>
        <w:spacing w:after="80"/>
        <w:ind w:left="0"/>
      </w:pPr>
      <w:r>
        <w:rPr>
          <w:color w:val="334155"/>
          <w:sz w:val="20"/>
        </w:rPr>
        <w:t>Underwriting at a higher hypothetical rate to ensure the borrower can still afford payments.</w:t>
      </w:r>
    </w:p>
    <w:p>
      <w:pPr>
        <w:spacing w:before="120" w:after="20"/>
      </w:pPr>
      <w:r>
        <w:rPr>
          <w:b/>
          <w:color w:val="0A2240"/>
          <w:sz w:val="21"/>
        </w:rPr>
        <w:t>Tri-Merge Report</w:t>
      </w:r>
    </w:p>
    <w:p>
      <w:pPr>
        <w:spacing w:after="80"/>
        <w:ind w:left="0"/>
      </w:pPr>
      <w:r>
        <w:rPr>
          <w:color w:val="334155"/>
          <w:sz w:val="20"/>
        </w:rPr>
        <w:t>A combined credit report pulling data from Equifax, Experian, and TransUnion.</w:t>
      </w:r>
    </w:p>
    <w:p>
      <w:pPr>
        <w:spacing w:before="120" w:after="20"/>
      </w:pPr>
      <w:r>
        <w:rPr>
          <w:b/>
          <w:color w:val="0A2240"/>
          <w:sz w:val="21"/>
        </w:rPr>
        <w:t>Underwriting</w:t>
      </w:r>
    </w:p>
    <w:p>
      <w:pPr>
        <w:spacing w:after="80"/>
        <w:ind w:left="0"/>
      </w:pPr>
      <w:r>
        <w:rPr>
          <w:color w:val="334155"/>
          <w:sz w:val="20"/>
        </w:rPr>
        <w:t>The lender's process of evaluating a borrower and property to determine loan risk.</w:t>
      </w:r>
    </w:p>
    <w:p>
      <w:pPr>
        <w:spacing w:before="120" w:after="20"/>
      </w:pPr>
      <w:r>
        <w:rPr>
          <w:b/>
          <w:color w:val="0A2240"/>
          <w:sz w:val="21"/>
        </w:rPr>
        <w:t>VOD</w:t>
      </w:r>
    </w:p>
    <w:p>
      <w:pPr>
        <w:spacing w:after="80"/>
        <w:ind w:left="0"/>
      </w:pPr>
      <w:r>
        <w:rPr>
          <w:color w:val="334155"/>
          <w:sz w:val="20"/>
        </w:rPr>
        <w:t>Verification of Deposit — confirms account balances with a borrower's bank.</w:t>
      </w:r>
    </w:p>
    <w:p>
      <w:pPr>
        <w:spacing w:before="120" w:after="20"/>
      </w:pPr>
      <w:r>
        <w:rPr>
          <w:b/>
          <w:color w:val="0A2240"/>
          <w:sz w:val="21"/>
        </w:rPr>
        <w:t>VOE</w:t>
      </w:r>
    </w:p>
    <w:p>
      <w:pPr>
        <w:spacing w:after="80"/>
        <w:ind w:left="0"/>
      </w:pPr>
      <w:r>
        <w:rPr>
          <w:color w:val="334155"/>
          <w:sz w:val="20"/>
        </w:rPr>
        <w:t>Verification of Employment — a document confirming a borrower's job status and income.</w:t>
      </w:r>
    </w:p>
    <w:p>
      <w:r>
        <w:rPr>
          <w:b/>
          <w:color w:val="B22234"/>
          <w:sz w:val="28"/>
        </w:rPr>
        <w:t>Working Capital &amp; Micro Funding</w:t>
      </w:r>
    </w:p>
    <w:p>
      <w:pPr>
        <w:spacing w:before="120" w:after="20"/>
      </w:pPr>
      <w:r>
        <w:rPr>
          <w:b/>
          <w:color w:val="0A2240"/>
          <w:sz w:val="21"/>
        </w:rPr>
        <w:t>Bridge Capital</w:t>
      </w:r>
    </w:p>
    <w:p>
      <w:pPr>
        <w:spacing w:after="80"/>
        <w:ind w:left="0"/>
      </w:pPr>
      <w:r>
        <w:rPr>
          <w:color w:val="334155"/>
          <w:sz w:val="20"/>
        </w:rPr>
        <w:t>Short-term funding to bridge a gap between immediate needs and longer-term financing.</w:t>
      </w:r>
    </w:p>
    <w:p>
      <w:pPr>
        <w:spacing w:before="120" w:after="20"/>
      </w:pPr>
      <w:r>
        <w:rPr>
          <w:b/>
          <w:color w:val="0A2240"/>
          <w:sz w:val="21"/>
        </w:rPr>
        <w:t>Crowdfunding</w:t>
      </w:r>
    </w:p>
    <w:p>
      <w:pPr>
        <w:spacing w:after="80"/>
        <w:ind w:left="0"/>
      </w:pPr>
      <w:r>
        <w:rPr>
          <w:color w:val="334155"/>
          <w:sz w:val="20"/>
        </w:rPr>
        <w:t>Raising small amounts of capital from many people, often online.</w:t>
      </w:r>
    </w:p>
    <w:p>
      <w:pPr>
        <w:spacing w:before="120" w:after="20"/>
      </w:pPr>
      <w:r>
        <w:rPr>
          <w:b/>
          <w:color w:val="0A2240"/>
          <w:sz w:val="21"/>
        </w:rPr>
        <w:t>Daily ACH Debit</w:t>
      </w:r>
    </w:p>
    <w:p>
      <w:pPr>
        <w:spacing w:after="80"/>
        <w:ind w:left="0"/>
      </w:pPr>
      <w:r>
        <w:rPr>
          <w:color w:val="334155"/>
          <w:sz w:val="20"/>
        </w:rPr>
        <w:t>MCA repayment method automatically debiting from business bank account daily.</w:t>
      </w:r>
    </w:p>
    <w:p>
      <w:pPr>
        <w:spacing w:before="120" w:after="20"/>
      </w:pPr>
      <w:r>
        <w:rPr>
          <w:b/>
          <w:color w:val="0A2240"/>
          <w:sz w:val="21"/>
        </w:rPr>
        <w:t>Daily Repayment</w:t>
      </w:r>
    </w:p>
    <w:p>
      <w:pPr>
        <w:spacing w:after="80"/>
        <w:ind w:left="0"/>
      </w:pPr>
      <w:r>
        <w:rPr>
          <w:color w:val="334155"/>
          <w:sz w:val="20"/>
        </w:rPr>
        <w:t>Short-term loan repayment structure with small daily ACH debits.</w:t>
      </w:r>
    </w:p>
    <w:p>
      <w:pPr>
        <w:spacing w:before="120" w:after="20"/>
      </w:pPr>
      <w:r>
        <w:rPr>
          <w:b/>
          <w:color w:val="0A2240"/>
          <w:sz w:val="21"/>
        </w:rPr>
        <w:t>Equipment Financing</w:t>
      </w:r>
    </w:p>
    <w:p>
      <w:pPr>
        <w:spacing w:after="80"/>
        <w:ind w:left="0"/>
      </w:pPr>
      <w:r>
        <w:rPr>
          <w:color w:val="334155"/>
          <w:sz w:val="20"/>
        </w:rPr>
        <w:t>A loan or lease used specifically to purchase business equipment, secured by the equipment.</w:t>
      </w:r>
    </w:p>
    <w:p>
      <w:pPr>
        <w:spacing w:before="120" w:after="20"/>
      </w:pPr>
      <w:r>
        <w:rPr>
          <w:b/>
          <w:color w:val="0A2240"/>
          <w:sz w:val="21"/>
        </w:rPr>
        <w:t>Factor Rate</w:t>
      </w:r>
    </w:p>
    <w:p>
      <w:pPr>
        <w:spacing w:after="80"/>
        <w:ind w:left="0"/>
      </w:pPr>
      <w:r>
        <w:rPr>
          <w:color w:val="334155"/>
          <w:sz w:val="20"/>
        </w:rPr>
        <w:t>MCA pricing expressed as a multiple of the funded amount, not an APR.</w:t>
      </w:r>
    </w:p>
    <w:p>
      <w:pPr>
        <w:spacing w:before="120" w:after="20"/>
      </w:pPr>
      <w:r>
        <w:rPr>
          <w:b/>
          <w:color w:val="0A2240"/>
          <w:sz w:val="21"/>
        </w:rPr>
        <w:t>Holdback Percentage</w:t>
      </w:r>
    </w:p>
    <w:p>
      <w:pPr>
        <w:spacing w:after="80"/>
        <w:ind w:left="0"/>
      </w:pPr>
      <w:r>
        <w:rPr>
          <w:color w:val="334155"/>
          <w:sz w:val="20"/>
        </w:rPr>
        <w:t>The fixed percentage of credit card sales an MCA company takes for repayment.</w:t>
      </w:r>
    </w:p>
    <w:p>
      <w:pPr>
        <w:spacing w:before="120" w:after="20"/>
      </w:pPr>
      <w:r>
        <w:rPr>
          <w:b/>
          <w:color w:val="0A2240"/>
          <w:sz w:val="21"/>
        </w:rPr>
        <w:t>Inventory Financing</w:t>
      </w:r>
    </w:p>
    <w:p>
      <w:pPr>
        <w:spacing w:after="80"/>
        <w:ind w:left="0"/>
      </w:pPr>
      <w:r>
        <w:rPr>
          <w:color w:val="334155"/>
          <w:sz w:val="20"/>
        </w:rPr>
        <w:t>A loan secured by inventory, helping businesses stock up before peak season.</w:t>
      </w:r>
    </w:p>
    <w:p>
      <w:pPr>
        <w:spacing w:before="120" w:after="20"/>
      </w:pPr>
      <w:r>
        <w:rPr>
          <w:b/>
          <w:color w:val="0A2240"/>
          <w:sz w:val="21"/>
        </w:rPr>
        <w:t>Invoice Financing</w:t>
      </w:r>
    </w:p>
    <w:p>
      <w:pPr>
        <w:spacing w:after="80"/>
        <w:ind w:left="0"/>
      </w:pPr>
      <w:r>
        <w:rPr>
          <w:color w:val="334155"/>
          <w:sz w:val="20"/>
        </w:rPr>
        <w:t>Borrowing against unpaid invoices to access working capital quickly.</w:t>
      </w:r>
    </w:p>
    <w:p>
      <w:pPr>
        <w:spacing w:before="120" w:after="20"/>
      </w:pPr>
      <w:r>
        <w:rPr>
          <w:b/>
          <w:color w:val="0A2240"/>
          <w:sz w:val="21"/>
        </w:rPr>
        <w:t>Merchant Cash Advance (MCA)</w:t>
      </w:r>
    </w:p>
    <w:p>
      <w:pPr>
        <w:spacing w:after="80"/>
        <w:ind w:left="0"/>
      </w:pPr>
      <w:r>
        <w:rPr>
          <w:color w:val="334155"/>
          <w:sz w:val="20"/>
        </w:rPr>
        <w:t>A lump sum advance repaid via a percentage of future credit card sales.</w:t>
      </w:r>
    </w:p>
    <w:p>
      <w:pPr>
        <w:spacing w:before="120" w:after="20"/>
      </w:pPr>
      <w:r>
        <w:rPr>
          <w:b/>
          <w:color w:val="0A2240"/>
          <w:sz w:val="21"/>
        </w:rPr>
        <w:t>Purchase Order Financing</w:t>
      </w:r>
    </w:p>
    <w:p>
      <w:pPr>
        <w:spacing w:after="80"/>
        <w:ind w:left="0"/>
      </w:pPr>
      <w:r>
        <w:rPr>
          <w:color w:val="334155"/>
          <w:sz w:val="20"/>
        </w:rPr>
        <w:t>A loan against a confirmed purchase order to fund inventory or fulfillment.</w:t>
      </w:r>
    </w:p>
    <w:p>
      <w:pPr>
        <w:spacing w:before="120" w:after="20"/>
      </w:pPr>
      <w:r>
        <w:rPr>
          <w:b/>
          <w:color w:val="0A2240"/>
          <w:sz w:val="21"/>
        </w:rPr>
        <w:t>Reconciliation (MCA)</w:t>
      </w:r>
    </w:p>
    <w:p>
      <w:pPr>
        <w:spacing w:after="80"/>
        <w:ind w:left="0"/>
      </w:pPr>
      <w:r>
        <w:rPr>
          <w:color w:val="334155"/>
          <w:sz w:val="20"/>
        </w:rPr>
        <w:t>The process of adjusting MCA payments downward when sales slow.</w:t>
      </w:r>
    </w:p>
    <w:p>
      <w:pPr>
        <w:spacing w:before="120" w:after="20"/>
      </w:pPr>
      <w:r>
        <w:rPr>
          <w:b/>
          <w:color w:val="0A2240"/>
          <w:sz w:val="21"/>
        </w:rPr>
        <w:t>Renewal Funding</w:t>
      </w:r>
    </w:p>
    <w:p>
      <w:pPr>
        <w:spacing w:after="80"/>
        <w:ind w:left="0"/>
      </w:pPr>
      <w:r>
        <w:rPr>
          <w:color w:val="334155"/>
          <w:sz w:val="20"/>
        </w:rPr>
        <w:t>Additional financing offered after partial repayment of a previous advance.</w:t>
      </w:r>
    </w:p>
    <w:p>
      <w:pPr>
        <w:spacing w:before="120" w:after="20"/>
      </w:pPr>
      <w:r>
        <w:rPr>
          <w:b/>
          <w:color w:val="0A2240"/>
          <w:sz w:val="21"/>
        </w:rPr>
        <w:t>Revenue-Based Financing</w:t>
      </w:r>
    </w:p>
    <w:p>
      <w:pPr>
        <w:spacing w:after="80"/>
        <w:ind w:left="0"/>
      </w:pPr>
      <w:r>
        <w:rPr>
          <w:color w:val="334155"/>
          <w:sz w:val="20"/>
        </w:rPr>
        <w:t>Funding repaid as a percentage of monthly revenue until a multiple is reached.</w:t>
      </w:r>
    </w:p>
    <w:p>
      <w:pPr>
        <w:spacing w:before="120" w:after="20"/>
      </w:pPr>
      <w:r>
        <w:rPr>
          <w:b/>
          <w:color w:val="0A2240"/>
          <w:sz w:val="21"/>
        </w:rPr>
        <w:t>Short-Term Business Loan</w:t>
      </w:r>
    </w:p>
    <w:p>
      <w:pPr>
        <w:spacing w:after="80"/>
        <w:ind w:left="0"/>
      </w:pPr>
      <w:r>
        <w:rPr>
          <w:color w:val="334155"/>
          <w:sz w:val="20"/>
        </w:rPr>
        <w:t>A loan typically repaid within 3-18 months for immediate working capital needs.</w:t>
      </w:r>
    </w:p>
    <w:p>
      <w:pPr>
        <w:spacing w:before="120" w:after="20"/>
      </w:pPr>
      <w:r>
        <w:rPr>
          <w:b/>
          <w:color w:val="0A2240"/>
          <w:sz w:val="21"/>
        </w:rPr>
        <w:t>Stacking</w:t>
      </w:r>
    </w:p>
    <w:p>
      <w:pPr>
        <w:spacing w:after="80"/>
        <w:ind w:left="0"/>
      </w:pPr>
      <w:r>
        <w:rPr>
          <w:color w:val="334155"/>
          <w:sz w:val="20"/>
        </w:rPr>
        <w:t>Taking multiple MCAs or short-term loans simultaneously — usually a covenant violation.</w:t>
      </w:r>
    </w:p>
    <w:p>
      <w:pPr>
        <w:spacing w:before="120" w:after="20"/>
      </w:pPr>
      <w:r>
        <w:rPr>
          <w:b/>
          <w:color w:val="0A2240"/>
          <w:sz w:val="21"/>
        </w:rPr>
        <w:t>Term Loan</w:t>
      </w:r>
    </w:p>
    <w:p>
      <w:pPr>
        <w:spacing w:after="80"/>
        <w:ind w:left="0"/>
      </w:pPr>
      <w:r>
        <w:rPr>
          <w:color w:val="334155"/>
          <w:sz w:val="20"/>
        </w:rPr>
        <w:t>A loan with a fixed repayment schedule and term, typically 1-10 years.</w:t>
      </w:r>
    </w:p>
    <w:p>
      <w:pPr>
        <w:spacing w:before="120" w:after="20"/>
      </w:pPr>
      <w:r>
        <w:rPr>
          <w:b/>
          <w:color w:val="0A2240"/>
          <w:sz w:val="21"/>
        </w:rPr>
        <w:t>Term-Out Provision</w:t>
      </w:r>
    </w:p>
    <w:p>
      <w:pPr>
        <w:spacing w:after="80"/>
        <w:ind w:left="0"/>
      </w:pPr>
      <w:r>
        <w:rPr>
          <w:color w:val="334155"/>
          <w:sz w:val="20"/>
        </w:rPr>
        <w:t>Converting an outstanding LOC balance into a term loan with scheduled payments.</w:t>
      </w:r>
    </w:p>
    <w:p>
      <w:pPr>
        <w:spacing w:before="120" w:after="20"/>
      </w:pPr>
      <w:r>
        <w:rPr>
          <w:b/>
          <w:color w:val="0A2240"/>
          <w:sz w:val="21"/>
        </w:rPr>
        <w:t>Weekly Repayment</w:t>
      </w:r>
    </w:p>
    <w:p>
      <w:pPr>
        <w:spacing w:after="80"/>
        <w:ind w:left="0"/>
      </w:pPr>
      <w:r>
        <w:rPr>
          <w:color w:val="334155"/>
          <w:sz w:val="20"/>
        </w:rPr>
        <w:t>Short-term loan repayment structure with weekly ACH debits.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